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EF269" w14:textId="77777777" w:rsidR="009B645C" w:rsidRDefault="009B645C" w:rsidP="009B645C">
      <w:pPr>
        <w:pStyle w:val="Default"/>
      </w:pPr>
    </w:p>
    <w:p w14:paraId="0D865281" w14:textId="77777777" w:rsidR="009B645C" w:rsidRDefault="009B645C" w:rsidP="009B645C">
      <w:pPr>
        <w:pStyle w:val="Default"/>
      </w:pPr>
      <w:r>
        <w:t xml:space="preserve"> </w:t>
      </w:r>
    </w:p>
    <w:p w14:paraId="216EA85C" w14:textId="79C7B785" w:rsidR="00C71AE6" w:rsidRPr="00964E37" w:rsidRDefault="009B645C" w:rsidP="00C71AE6">
      <w:pPr>
        <w:pStyle w:val="Default"/>
        <w:numPr>
          <w:ilvl w:val="0"/>
          <w:numId w:val="1"/>
        </w:numPr>
        <w:spacing w:after="21"/>
        <w:rPr>
          <w:sz w:val="22"/>
          <w:szCs w:val="22"/>
        </w:rPr>
      </w:pPr>
      <w:r w:rsidRPr="00964E37">
        <w:rPr>
          <w:sz w:val="22"/>
          <w:szCs w:val="22"/>
        </w:rPr>
        <w:t xml:space="preserve">Wykonawca prosi o modyfikacje podpunktów 2. I 3., pkt 8., Załącznik nr 1., Specyfikacja Techniczna, i uwzględnienie aktualnie obowiązujących w żywieniu zbiorowym zaleceń Instytutu Żywności i Żywienia opisanych w następujących publikacjach „Podstawy naukowe żywienia w szpitalach: pod redakcją Jana </w:t>
      </w:r>
      <w:proofErr w:type="spellStart"/>
      <w:r w:rsidRPr="00964E37">
        <w:rPr>
          <w:sz w:val="22"/>
          <w:szCs w:val="22"/>
        </w:rPr>
        <w:t>Dzieniszewskiego</w:t>
      </w:r>
      <w:proofErr w:type="spellEnd"/>
      <w:r w:rsidRPr="00964E37">
        <w:rPr>
          <w:sz w:val="22"/>
          <w:szCs w:val="22"/>
        </w:rPr>
        <w:t xml:space="preserve">, wyd. IŻŻ, „Zasady prawidłowego żywienia chorych w szpitalach” pod red. Mirosława Jarosza, wyd. IŻŻ, „Normy żywienia dla populacji Polski” pod red. M. Jarosza, E. Rychlik, K. </w:t>
      </w:r>
      <w:proofErr w:type="spellStart"/>
      <w:r w:rsidRPr="00964E37">
        <w:rPr>
          <w:sz w:val="22"/>
          <w:szCs w:val="22"/>
        </w:rPr>
        <w:t>Stoś</w:t>
      </w:r>
      <w:proofErr w:type="spellEnd"/>
      <w:r w:rsidRPr="00964E37">
        <w:rPr>
          <w:sz w:val="22"/>
          <w:szCs w:val="22"/>
        </w:rPr>
        <w:t xml:space="preserve">, J. Charzewskiej wyd. NIZP- PZH 2020r. </w:t>
      </w:r>
    </w:p>
    <w:p w14:paraId="247B802A" w14:textId="2D3D8FB0" w:rsidR="00C71AE6" w:rsidRPr="00C71AE6" w:rsidRDefault="00C71AE6" w:rsidP="00C71AE6">
      <w:pPr>
        <w:pStyle w:val="Default"/>
        <w:spacing w:after="21"/>
        <w:rPr>
          <w:color w:val="FF0000"/>
          <w:sz w:val="22"/>
          <w:szCs w:val="22"/>
        </w:rPr>
      </w:pPr>
      <w:r w:rsidRPr="00C71AE6">
        <w:rPr>
          <w:color w:val="FF0000"/>
          <w:sz w:val="22"/>
          <w:szCs w:val="22"/>
        </w:rPr>
        <w:t>Odpowiedź: powinno być zgodnie z normami IŻŻ</w:t>
      </w:r>
    </w:p>
    <w:p w14:paraId="2DBE2A9B" w14:textId="77777777" w:rsidR="00C71AE6" w:rsidRDefault="00C71AE6" w:rsidP="00C71AE6">
      <w:pPr>
        <w:pStyle w:val="Default"/>
        <w:spacing w:after="21"/>
        <w:rPr>
          <w:color w:val="FF0000"/>
          <w:sz w:val="22"/>
          <w:szCs w:val="22"/>
        </w:rPr>
      </w:pPr>
    </w:p>
    <w:p w14:paraId="095701D2" w14:textId="1091C296" w:rsidR="00964E37" w:rsidRPr="00964E37" w:rsidRDefault="009B645C" w:rsidP="009B645C">
      <w:pPr>
        <w:pStyle w:val="Default"/>
        <w:numPr>
          <w:ilvl w:val="0"/>
          <w:numId w:val="1"/>
        </w:numPr>
        <w:spacing w:after="21"/>
        <w:rPr>
          <w:sz w:val="22"/>
          <w:szCs w:val="22"/>
        </w:rPr>
      </w:pPr>
      <w:r w:rsidRPr="00964E37">
        <w:rPr>
          <w:sz w:val="22"/>
          <w:szCs w:val="22"/>
        </w:rPr>
        <w:t xml:space="preserve">Wykonawca dobrze interpretuje, że jadłospis dekadowy prócz wykazu składników posiłków dla wymienionych diet musi zawierać dobową wartość kaloryczną posiłków jak i wartości odżywczych (białko, węglowodany, tłuszcze)? </w:t>
      </w:r>
    </w:p>
    <w:p w14:paraId="576E26D7" w14:textId="34B0F709" w:rsidR="00964E37" w:rsidRDefault="00AF597A" w:rsidP="00C71AE6">
      <w:pPr>
        <w:pStyle w:val="Default"/>
        <w:spacing w:after="21"/>
        <w:rPr>
          <w:color w:val="FF0000"/>
          <w:sz w:val="22"/>
          <w:szCs w:val="22"/>
        </w:rPr>
      </w:pPr>
      <w:r>
        <w:rPr>
          <w:color w:val="FF0000"/>
          <w:sz w:val="22"/>
          <w:szCs w:val="22"/>
        </w:rPr>
        <w:t xml:space="preserve">Odpowiedź: </w:t>
      </w:r>
      <w:r w:rsidRPr="009B645C">
        <w:rPr>
          <w:color w:val="FF0000"/>
          <w:sz w:val="22"/>
          <w:szCs w:val="22"/>
        </w:rPr>
        <w:t xml:space="preserve">Interpretacja </w:t>
      </w:r>
      <w:r>
        <w:rPr>
          <w:color w:val="FF0000"/>
          <w:sz w:val="22"/>
          <w:szCs w:val="22"/>
        </w:rPr>
        <w:t xml:space="preserve">pytającego </w:t>
      </w:r>
      <w:r w:rsidRPr="009B645C">
        <w:rPr>
          <w:color w:val="FF0000"/>
          <w:sz w:val="22"/>
          <w:szCs w:val="22"/>
        </w:rPr>
        <w:t xml:space="preserve">jest </w:t>
      </w:r>
      <w:r>
        <w:rPr>
          <w:color w:val="FF0000"/>
          <w:sz w:val="22"/>
          <w:szCs w:val="22"/>
        </w:rPr>
        <w:t>p</w:t>
      </w:r>
      <w:r w:rsidRPr="009B645C">
        <w:rPr>
          <w:color w:val="FF0000"/>
          <w:sz w:val="22"/>
          <w:szCs w:val="22"/>
        </w:rPr>
        <w:t>rawidłowa</w:t>
      </w:r>
    </w:p>
    <w:p w14:paraId="0401DD7A" w14:textId="77777777" w:rsidR="00AF597A" w:rsidRPr="009B645C" w:rsidRDefault="00AF597A" w:rsidP="00C71AE6">
      <w:pPr>
        <w:pStyle w:val="Default"/>
        <w:spacing w:after="21"/>
        <w:rPr>
          <w:color w:val="FF0000"/>
          <w:sz w:val="22"/>
          <w:szCs w:val="22"/>
        </w:rPr>
      </w:pPr>
    </w:p>
    <w:p w14:paraId="1D41C9A5" w14:textId="5A84914D" w:rsidR="00C71AE6" w:rsidRPr="00964E37" w:rsidRDefault="009B645C" w:rsidP="00C71AE6">
      <w:pPr>
        <w:pStyle w:val="Default"/>
        <w:numPr>
          <w:ilvl w:val="0"/>
          <w:numId w:val="1"/>
        </w:numPr>
        <w:spacing w:after="21"/>
        <w:rPr>
          <w:sz w:val="22"/>
          <w:szCs w:val="22"/>
        </w:rPr>
      </w:pPr>
      <w:r w:rsidRPr="00964E37">
        <w:rPr>
          <w:sz w:val="22"/>
          <w:szCs w:val="22"/>
        </w:rPr>
        <w:t xml:space="preserve">Czy Wykonawca dobrze rozumie, że zupa mleczna powinna być zaplanowana do śniadania również dla diety cukrzycowej ? </w:t>
      </w:r>
    </w:p>
    <w:p w14:paraId="472AD012" w14:textId="7DFC69AB" w:rsidR="00C71AE6" w:rsidRPr="009B645C" w:rsidRDefault="00C71AE6" w:rsidP="00C71AE6">
      <w:pPr>
        <w:pStyle w:val="Default"/>
        <w:spacing w:after="21"/>
        <w:rPr>
          <w:color w:val="FF0000"/>
          <w:sz w:val="22"/>
          <w:szCs w:val="22"/>
        </w:rPr>
      </w:pPr>
      <w:r>
        <w:rPr>
          <w:color w:val="FF0000"/>
          <w:sz w:val="22"/>
          <w:szCs w:val="22"/>
        </w:rPr>
        <w:t xml:space="preserve">Odpowiedź: </w:t>
      </w:r>
      <w:r w:rsidRPr="009B645C">
        <w:rPr>
          <w:color w:val="FF0000"/>
          <w:sz w:val="22"/>
          <w:szCs w:val="22"/>
        </w:rPr>
        <w:t xml:space="preserve">Interpretacja </w:t>
      </w:r>
      <w:r>
        <w:rPr>
          <w:color w:val="FF0000"/>
          <w:sz w:val="22"/>
          <w:szCs w:val="22"/>
        </w:rPr>
        <w:t xml:space="preserve">pytającego </w:t>
      </w:r>
      <w:r w:rsidRPr="009B645C">
        <w:rPr>
          <w:color w:val="FF0000"/>
          <w:sz w:val="22"/>
          <w:szCs w:val="22"/>
        </w:rPr>
        <w:t xml:space="preserve">jest </w:t>
      </w:r>
      <w:r w:rsidR="00AF597A">
        <w:rPr>
          <w:color w:val="FF0000"/>
          <w:sz w:val="22"/>
          <w:szCs w:val="22"/>
        </w:rPr>
        <w:t>p</w:t>
      </w:r>
      <w:r w:rsidRPr="009B645C">
        <w:rPr>
          <w:color w:val="FF0000"/>
          <w:sz w:val="22"/>
          <w:szCs w:val="22"/>
        </w:rPr>
        <w:t>rawidłowa</w:t>
      </w:r>
    </w:p>
    <w:p w14:paraId="6FF4320C" w14:textId="77777777" w:rsidR="009B645C" w:rsidRDefault="009B645C" w:rsidP="009B645C">
      <w:pPr>
        <w:pStyle w:val="Default"/>
        <w:spacing w:after="21"/>
        <w:ind w:left="502"/>
        <w:rPr>
          <w:sz w:val="22"/>
          <w:szCs w:val="22"/>
        </w:rPr>
      </w:pPr>
    </w:p>
    <w:p w14:paraId="2EC84632" w14:textId="70D64D7E" w:rsidR="009B645C" w:rsidRPr="00964E37" w:rsidRDefault="009B645C" w:rsidP="00C71AE6">
      <w:pPr>
        <w:pStyle w:val="Default"/>
        <w:numPr>
          <w:ilvl w:val="0"/>
          <w:numId w:val="1"/>
        </w:numPr>
        <w:spacing w:after="21"/>
        <w:rPr>
          <w:sz w:val="22"/>
          <w:szCs w:val="22"/>
        </w:rPr>
      </w:pPr>
      <w:r w:rsidRPr="00964E37">
        <w:rPr>
          <w:sz w:val="22"/>
          <w:szCs w:val="22"/>
        </w:rPr>
        <w:t xml:space="preserve">Czy Wykonawca dobrze rozumie, że do śniadania ma być planowana wymiennie raz kawa, a raz herbata ? </w:t>
      </w:r>
    </w:p>
    <w:p w14:paraId="75600F8A" w14:textId="79F75921" w:rsidR="009B645C" w:rsidRDefault="00AF597A" w:rsidP="00AF597A">
      <w:pPr>
        <w:pStyle w:val="Default"/>
        <w:spacing w:after="21"/>
        <w:ind w:left="142"/>
        <w:rPr>
          <w:color w:val="FF0000"/>
          <w:sz w:val="22"/>
          <w:szCs w:val="22"/>
        </w:rPr>
      </w:pPr>
      <w:r>
        <w:rPr>
          <w:color w:val="FF0000"/>
          <w:sz w:val="22"/>
          <w:szCs w:val="22"/>
        </w:rPr>
        <w:t xml:space="preserve">Odpowiedź: </w:t>
      </w:r>
      <w:r w:rsidRPr="009B645C">
        <w:rPr>
          <w:color w:val="FF0000"/>
          <w:sz w:val="22"/>
          <w:szCs w:val="22"/>
        </w:rPr>
        <w:t xml:space="preserve">Interpretacja </w:t>
      </w:r>
      <w:r>
        <w:rPr>
          <w:color w:val="FF0000"/>
          <w:sz w:val="22"/>
          <w:szCs w:val="22"/>
        </w:rPr>
        <w:t xml:space="preserve">pytającego </w:t>
      </w:r>
      <w:r w:rsidRPr="009B645C">
        <w:rPr>
          <w:color w:val="FF0000"/>
          <w:sz w:val="22"/>
          <w:szCs w:val="22"/>
        </w:rPr>
        <w:t xml:space="preserve">jest </w:t>
      </w:r>
      <w:r>
        <w:rPr>
          <w:color w:val="FF0000"/>
          <w:sz w:val="22"/>
          <w:szCs w:val="22"/>
        </w:rPr>
        <w:t>p</w:t>
      </w:r>
      <w:r w:rsidRPr="009B645C">
        <w:rPr>
          <w:color w:val="FF0000"/>
          <w:sz w:val="22"/>
          <w:szCs w:val="22"/>
        </w:rPr>
        <w:t>rawidłowa</w:t>
      </w:r>
    </w:p>
    <w:p w14:paraId="21233523" w14:textId="77777777" w:rsidR="00AF597A" w:rsidRDefault="00AF597A" w:rsidP="009B645C">
      <w:pPr>
        <w:pStyle w:val="Default"/>
        <w:spacing w:after="21"/>
        <w:ind w:left="502"/>
        <w:rPr>
          <w:sz w:val="22"/>
          <w:szCs w:val="22"/>
        </w:rPr>
      </w:pPr>
    </w:p>
    <w:p w14:paraId="5439B0DF" w14:textId="77777777" w:rsidR="009B645C" w:rsidRDefault="009B645C" w:rsidP="009B645C">
      <w:pPr>
        <w:pStyle w:val="Default"/>
        <w:spacing w:after="21"/>
        <w:rPr>
          <w:sz w:val="22"/>
          <w:szCs w:val="22"/>
        </w:rPr>
      </w:pPr>
      <w:r>
        <w:rPr>
          <w:sz w:val="22"/>
          <w:szCs w:val="22"/>
        </w:rPr>
        <w:t xml:space="preserve">5. W myśl pkt 14., Załącznika nr 1., Specyfikacja Techniczna, Czy Zamawiający wyraża zgodę na dostarczenie jadłospisu 14-dniowego z podpisem dietetyka zostanie przekazany pielęgniarce oddziałowej drogą elektroniczną? </w:t>
      </w:r>
    </w:p>
    <w:p w14:paraId="0EC900E5" w14:textId="6867D14F" w:rsidR="009B645C" w:rsidRDefault="009B645C" w:rsidP="009B645C">
      <w:pPr>
        <w:pStyle w:val="Default"/>
        <w:rPr>
          <w:b/>
          <w:bCs/>
          <w:sz w:val="22"/>
          <w:szCs w:val="22"/>
        </w:rPr>
      </w:pPr>
      <w:r>
        <w:rPr>
          <w:sz w:val="22"/>
          <w:szCs w:val="22"/>
        </w:rPr>
        <w:t xml:space="preserve">6. Każda z diet dostarcza określonej ilości kilokalorii (kcal) oraz wartości odżywczej w postaci białka, tłuszczy i węglowodanów. To ile poszczególna dieta ma dostarczyć tych w/w składników zleży kogo żywimy, czyli musimy znać tzw. strukturę osób żywionych. Jest to proste, do określenia, jeśli żywimy jednolita grupę ludzi pod wzg., wieku, płci i aktywności fizycznej, bo mają zbliżone zapotrzebowanie na energię i składniki odżywcze. W szpitalach mamy zróżnicowaną strukturę, ponieważ leżą zarówno, kobiety jak i mężczyźni, w różnych przedziałach wiekowych, w różnych stanach fizjologicznych. W takim przypadku (jeśli dysponujemy statystyką chorych) możemy sami obliczyć średnio ważoną wartość odżywczą dla tak zróżnicowanej grupy. Musimy znać ile osób danej płci jest w określonej grupie wiekowej, o określonej aktywności fizycznej i o określonym stanie fizycznym (ciąża, karmienie piersią) i na tej podstawie wg wzoru obliczamy średnio ważoną wartość energetyczną i odżywczą. W praktyce jest to trudne, mało prawdopodobne i niepotrzebne, ponieważ szpital nie udostępniają takich danych oraz dynamika zmian (rotacja pacjentów) jest bardzo duża. " </w:t>
      </w:r>
      <w:r>
        <w:rPr>
          <w:b/>
          <w:bCs/>
          <w:sz w:val="22"/>
          <w:szCs w:val="22"/>
        </w:rPr>
        <w:t xml:space="preserve">Za podstawę diety przyjęto średnie normy dla kobiet (1800 kcal) i mężczyzn (2270 kcal) o małej aktywności fizycznej, opracowane przez </w:t>
      </w:r>
      <w:proofErr w:type="spellStart"/>
      <w:r>
        <w:rPr>
          <w:b/>
          <w:bCs/>
          <w:sz w:val="22"/>
          <w:szCs w:val="22"/>
        </w:rPr>
        <w:t>Ziemlańskiego</w:t>
      </w:r>
      <w:proofErr w:type="spellEnd"/>
      <w:r>
        <w:rPr>
          <w:b/>
          <w:bCs/>
          <w:sz w:val="22"/>
          <w:szCs w:val="22"/>
        </w:rPr>
        <w:t xml:space="preserve"> </w:t>
      </w:r>
    </w:p>
    <w:p w14:paraId="3AC18871" w14:textId="3F94052E" w:rsidR="009B645C" w:rsidRDefault="00C71AE6" w:rsidP="00F10543">
      <w:pPr>
        <w:pStyle w:val="Default"/>
        <w:rPr>
          <w:color w:val="FF0000"/>
          <w:sz w:val="22"/>
          <w:szCs w:val="22"/>
        </w:rPr>
      </w:pPr>
      <w:r w:rsidRPr="00C71AE6">
        <w:rPr>
          <w:color w:val="FF0000"/>
          <w:sz w:val="22"/>
          <w:szCs w:val="22"/>
        </w:rPr>
        <w:t>Odpowiedź:</w:t>
      </w:r>
      <w:r w:rsidR="009B645C" w:rsidRPr="00C71AE6">
        <w:rPr>
          <w:color w:val="FF0000"/>
          <w:sz w:val="22"/>
          <w:szCs w:val="22"/>
        </w:rPr>
        <w:t xml:space="preserve"> Tak , </w:t>
      </w:r>
      <w:r w:rsidR="00AF597A">
        <w:rPr>
          <w:color w:val="FF0000"/>
          <w:sz w:val="22"/>
          <w:szCs w:val="22"/>
        </w:rPr>
        <w:t xml:space="preserve">jak </w:t>
      </w:r>
      <w:r w:rsidR="009B645C" w:rsidRPr="00C71AE6">
        <w:rPr>
          <w:color w:val="FF0000"/>
          <w:sz w:val="22"/>
          <w:szCs w:val="22"/>
        </w:rPr>
        <w:t>jest to określone w SWZ</w:t>
      </w:r>
    </w:p>
    <w:p w14:paraId="0E8FD59A" w14:textId="77777777" w:rsidR="00F10543" w:rsidRDefault="00F10543" w:rsidP="00F10543">
      <w:pPr>
        <w:pStyle w:val="Default"/>
        <w:rPr>
          <w:sz w:val="22"/>
          <w:szCs w:val="22"/>
        </w:rPr>
      </w:pPr>
    </w:p>
    <w:p w14:paraId="73298677" w14:textId="71D5AB53" w:rsidR="009B645C" w:rsidRDefault="009B645C" w:rsidP="009B645C">
      <w:pPr>
        <w:pStyle w:val="Default"/>
        <w:spacing w:after="21"/>
        <w:rPr>
          <w:sz w:val="22"/>
          <w:szCs w:val="22"/>
        </w:rPr>
      </w:pPr>
      <w:r>
        <w:rPr>
          <w:b/>
          <w:bCs/>
          <w:sz w:val="22"/>
          <w:szCs w:val="22"/>
        </w:rPr>
        <w:t xml:space="preserve">6.W założeniu diety przyjęto średnią zaokrągloną wartość 2000 kcal (8368 </w:t>
      </w:r>
      <w:proofErr w:type="spellStart"/>
      <w:r>
        <w:rPr>
          <w:b/>
          <w:bCs/>
          <w:sz w:val="22"/>
          <w:szCs w:val="22"/>
        </w:rPr>
        <w:t>kJ</w:t>
      </w:r>
      <w:proofErr w:type="spellEnd"/>
      <w:r>
        <w:rPr>
          <w:b/>
          <w:bCs/>
          <w:sz w:val="22"/>
          <w:szCs w:val="22"/>
        </w:rPr>
        <w:t xml:space="preserve">). </w:t>
      </w:r>
      <w:r>
        <w:rPr>
          <w:sz w:val="22"/>
          <w:szCs w:val="22"/>
        </w:rPr>
        <w:t xml:space="preserve">Zamawiający, w Normach Żywieniowych Posiłków (Załącznik nr 1.), określił kaloryczność poszczególnych diet powyżej przeciętnej średniej. Czy Zamawiający zgadza się na zmiany kaloryczności diet, zgodnie ze wskazaniami IŻŻ dla żywienia w szpitalach na poziomie 2000kcal dla diet: podstawowej, łatwostrawnej oraz ich modyfikacji? </w:t>
      </w:r>
    </w:p>
    <w:p w14:paraId="32FFD38B" w14:textId="77777777" w:rsidR="00C71AE6" w:rsidRPr="009B645C" w:rsidRDefault="00C71AE6" w:rsidP="00C71AE6">
      <w:pPr>
        <w:pStyle w:val="Default"/>
        <w:spacing w:after="21"/>
        <w:rPr>
          <w:color w:val="FF0000"/>
          <w:sz w:val="22"/>
          <w:szCs w:val="22"/>
        </w:rPr>
      </w:pPr>
      <w:r>
        <w:rPr>
          <w:color w:val="FF0000"/>
          <w:sz w:val="22"/>
          <w:szCs w:val="22"/>
        </w:rPr>
        <w:t>Odpowiedź: zgodnie z zaleceniami IŻŻ</w:t>
      </w:r>
    </w:p>
    <w:p w14:paraId="7162835D" w14:textId="77777777" w:rsidR="009B645C" w:rsidRPr="009B645C" w:rsidRDefault="009B645C" w:rsidP="009B645C">
      <w:pPr>
        <w:pStyle w:val="Default"/>
        <w:spacing w:after="21"/>
        <w:rPr>
          <w:color w:val="FF0000"/>
          <w:sz w:val="22"/>
          <w:szCs w:val="22"/>
        </w:rPr>
      </w:pPr>
    </w:p>
    <w:p w14:paraId="3E6BEE7A" w14:textId="2D1A7103" w:rsidR="009B645C" w:rsidRDefault="009B645C" w:rsidP="009B645C">
      <w:pPr>
        <w:pStyle w:val="Default"/>
        <w:spacing w:after="21"/>
        <w:rPr>
          <w:sz w:val="22"/>
          <w:szCs w:val="22"/>
        </w:rPr>
      </w:pPr>
      <w:r>
        <w:rPr>
          <w:sz w:val="22"/>
          <w:szCs w:val="22"/>
        </w:rPr>
        <w:t xml:space="preserve">7. Wykonawca prosi o modyfikacje pkt 3., Załącznik nr 1., Normy Żywieniowe Posiłków, i uwzględnić aktualne wytyczne funkcjonujące w żywieniu zbiorowym na podstawie zaleceń Instytutu Żywności i Żywienia opisanych w następujących publikacjach „Podstawy naukowe żywienia w szpitalach: pod redakcją Jana </w:t>
      </w:r>
      <w:proofErr w:type="spellStart"/>
      <w:r>
        <w:rPr>
          <w:sz w:val="22"/>
          <w:szCs w:val="22"/>
        </w:rPr>
        <w:t>Dzieniszewskiego</w:t>
      </w:r>
      <w:proofErr w:type="spellEnd"/>
      <w:r>
        <w:rPr>
          <w:sz w:val="22"/>
          <w:szCs w:val="22"/>
        </w:rPr>
        <w:t xml:space="preserve">, wyd. IŻŻ, „Zasady prawidłowego żywienia chorych </w:t>
      </w:r>
      <w:r>
        <w:rPr>
          <w:sz w:val="22"/>
          <w:szCs w:val="22"/>
        </w:rPr>
        <w:lastRenderedPageBreak/>
        <w:t xml:space="preserve">w szpitalach” pod red. Mirosława Jarosza, wyd. IŻŻ, „Normy żywienia dla populacji Polski” pod red. M. Jarosza, E. Rychlik, K. </w:t>
      </w:r>
      <w:proofErr w:type="spellStart"/>
      <w:r>
        <w:rPr>
          <w:sz w:val="22"/>
          <w:szCs w:val="22"/>
        </w:rPr>
        <w:t>Stoś</w:t>
      </w:r>
      <w:proofErr w:type="spellEnd"/>
      <w:r>
        <w:rPr>
          <w:sz w:val="22"/>
          <w:szCs w:val="22"/>
        </w:rPr>
        <w:t xml:space="preserve">, J. Charzewskiej wyd. NIZP- PZH 2020r. </w:t>
      </w:r>
    </w:p>
    <w:p w14:paraId="4512E339" w14:textId="5431E803" w:rsidR="009B645C" w:rsidRPr="009B645C" w:rsidRDefault="00C71AE6" w:rsidP="009B645C">
      <w:pPr>
        <w:pStyle w:val="Default"/>
        <w:spacing w:after="21"/>
        <w:rPr>
          <w:color w:val="FF0000"/>
          <w:sz w:val="22"/>
          <w:szCs w:val="22"/>
        </w:rPr>
      </w:pPr>
      <w:r>
        <w:rPr>
          <w:color w:val="FF0000"/>
          <w:sz w:val="22"/>
          <w:szCs w:val="22"/>
        </w:rPr>
        <w:t>Odpowiedź:</w:t>
      </w:r>
      <w:r w:rsidR="00D44F16">
        <w:rPr>
          <w:color w:val="FF0000"/>
          <w:sz w:val="22"/>
          <w:szCs w:val="22"/>
        </w:rPr>
        <w:t xml:space="preserve"> zgodnie z zalecenia</w:t>
      </w:r>
      <w:r>
        <w:rPr>
          <w:color w:val="FF0000"/>
          <w:sz w:val="22"/>
          <w:szCs w:val="22"/>
        </w:rPr>
        <w:t>mi</w:t>
      </w:r>
      <w:r w:rsidR="00D44F16">
        <w:rPr>
          <w:color w:val="FF0000"/>
          <w:sz w:val="22"/>
          <w:szCs w:val="22"/>
        </w:rPr>
        <w:t xml:space="preserve"> </w:t>
      </w:r>
      <w:r>
        <w:rPr>
          <w:color w:val="FF0000"/>
          <w:sz w:val="22"/>
          <w:szCs w:val="22"/>
        </w:rPr>
        <w:t>IŻŻ</w:t>
      </w:r>
    </w:p>
    <w:p w14:paraId="54B79309" w14:textId="77777777" w:rsidR="009B645C" w:rsidRDefault="009B645C" w:rsidP="009B645C">
      <w:pPr>
        <w:pStyle w:val="Default"/>
        <w:spacing w:after="21"/>
        <w:rPr>
          <w:sz w:val="22"/>
          <w:szCs w:val="22"/>
        </w:rPr>
      </w:pPr>
    </w:p>
    <w:p w14:paraId="4BAB42FA" w14:textId="6A6E3C41" w:rsidR="00C71AE6" w:rsidRDefault="009B645C" w:rsidP="009B645C">
      <w:pPr>
        <w:pStyle w:val="Default"/>
        <w:spacing w:after="21"/>
        <w:rPr>
          <w:sz w:val="22"/>
          <w:szCs w:val="22"/>
        </w:rPr>
      </w:pPr>
      <w:r>
        <w:rPr>
          <w:sz w:val="22"/>
          <w:szCs w:val="22"/>
        </w:rPr>
        <w:t xml:space="preserve">8. Czy Zamawiający wymaga do dań półmięsnych typu gołąbki, łazanki, </w:t>
      </w:r>
      <w:proofErr w:type="spellStart"/>
      <w:r>
        <w:rPr>
          <w:sz w:val="22"/>
          <w:szCs w:val="22"/>
        </w:rPr>
        <w:t>kaszotto</w:t>
      </w:r>
      <w:proofErr w:type="spellEnd"/>
      <w:r>
        <w:rPr>
          <w:sz w:val="22"/>
          <w:szCs w:val="22"/>
        </w:rPr>
        <w:t>, risotto i inne zawierające w swoim składzie zarówno białko zwierzęce, węglowodany jak i warzywa dodatkowo dodatku warzywnego? Jeśli tak to w jakiej ilości?</w:t>
      </w:r>
    </w:p>
    <w:p w14:paraId="3B7722FF" w14:textId="60776E8A" w:rsidR="009B645C" w:rsidRPr="009B645C" w:rsidRDefault="00C71AE6" w:rsidP="009B645C">
      <w:pPr>
        <w:pStyle w:val="Default"/>
        <w:spacing w:after="21"/>
        <w:rPr>
          <w:color w:val="FF0000"/>
          <w:sz w:val="22"/>
          <w:szCs w:val="22"/>
        </w:rPr>
      </w:pPr>
      <w:r>
        <w:rPr>
          <w:color w:val="FF0000"/>
          <w:sz w:val="22"/>
          <w:szCs w:val="22"/>
        </w:rPr>
        <w:t xml:space="preserve">Odpowiedź: </w:t>
      </w:r>
      <w:r w:rsidR="009B645C" w:rsidRPr="009B645C">
        <w:rPr>
          <w:color w:val="FF0000"/>
          <w:sz w:val="22"/>
          <w:szCs w:val="22"/>
        </w:rPr>
        <w:t xml:space="preserve"> </w:t>
      </w:r>
      <w:r w:rsidR="00D44F16">
        <w:rPr>
          <w:color w:val="FF0000"/>
          <w:sz w:val="22"/>
          <w:szCs w:val="22"/>
        </w:rPr>
        <w:t>N</w:t>
      </w:r>
      <w:r>
        <w:rPr>
          <w:color w:val="FF0000"/>
          <w:sz w:val="22"/>
          <w:szCs w:val="22"/>
        </w:rPr>
        <w:t>ie wymagamy</w:t>
      </w:r>
    </w:p>
    <w:p w14:paraId="6C0182C9" w14:textId="380BE5AE" w:rsidR="009B645C" w:rsidRDefault="009B645C" w:rsidP="009B645C">
      <w:pPr>
        <w:pStyle w:val="Default"/>
        <w:spacing w:after="21"/>
        <w:rPr>
          <w:sz w:val="22"/>
          <w:szCs w:val="22"/>
        </w:rPr>
      </w:pPr>
      <w:r>
        <w:rPr>
          <w:sz w:val="22"/>
          <w:szCs w:val="22"/>
        </w:rPr>
        <w:t xml:space="preserve"> </w:t>
      </w:r>
    </w:p>
    <w:p w14:paraId="0A8F71CE" w14:textId="220A8459" w:rsidR="00C71AE6" w:rsidRDefault="009B645C" w:rsidP="009B645C">
      <w:pPr>
        <w:pStyle w:val="Default"/>
        <w:spacing w:after="21"/>
        <w:rPr>
          <w:sz w:val="22"/>
          <w:szCs w:val="22"/>
        </w:rPr>
      </w:pPr>
      <w:r>
        <w:rPr>
          <w:sz w:val="22"/>
          <w:szCs w:val="22"/>
        </w:rPr>
        <w:t xml:space="preserve">9. Czy Zamawiający dopuszcza stosowanie mleka w proszku, szczególnie w okresie letnim. Produkt ten jest bezpieczniejszy pod względem mikrobiologicznym. </w:t>
      </w:r>
    </w:p>
    <w:p w14:paraId="7614D376" w14:textId="5882D4B9" w:rsidR="009B645C" w:rsidRPr="009B645C" w:rsidRDefault="00C71AE6" w:rsidP="009B645C">
      <w:pPr>
        <w:pStyle w:val="Default"/>
        <w:spacing w:after="21"/>
        <w:rPr>
          <w:color w:val="FF0000"/>
          <w:sz w:val="22"/>
          <w:szCs w:val="22"/>
        </w:rPr>
      </w:pPr>
      <w:r>
        <w:rPr>
          <w:color w:val="FF0000"/>
          <w:sz w:val="22"/>
          <w:szCs w:val="22"/>
        </w:rPr>
        <w:t xml:space="preserve">Odpowiedź: </w:t>
      </w:r>
      <w:r w:rsidR="009B645C" w:rsidRPr="009B645C">
        <w:rPr>
          <w:color w:val="FF0000"/>
          <w:sz w:val="22"/>
          <w:szCs w:val="22"/>
        </w:rPr>
        <w:t xml:space="preserve"> Tak </w:t>
      </w:r>
    </w:p>
    <w:p w14:paraId="0746F72B" w14:textId="77777777" w:rsidR="009B645C" w:rsidRDefault="009B645C" w:rsidP="009B645C">
      <w:pPr>
        <w:pStyle w:val="Default"/>
        <w:spacing w:after="21"/>
        <w:rPr>
          <w:sz w:val="22"/>
          <w:szCs w:val="22"/>
        </w:rPr>
      </w:pPr>
    </w:p>
    <w:p w14:paraId="6FC355ED" w14:textId="0884120B" w:rsidR="00C71AE6" w:rsidRDefault="009B645C" w:rsidP="009B645C">
      <w:pPr>
        <w:pStyle w:val="Default"/>
        <w:spacing w:after="21"/>
        <w:rPr>
          <w:sz w:val="22"/>
          <w:szCs w:val="22"/>
        </w:rPr>
      </w:pPr>
      <w:r>
        <w:rPr>
          <w:sz w:val="22"/>
          <w:szCs w:val="22"/>
        </w:rPr>
        <w:t>10. Prosimy Zamawiającego o potwierdzenie, że w związku z możliwymi kolejnymi falami epidemii i w związku z możliwym zamknięciem kuchni z powodu kwarantanny pracowników, Zamawiający wymaga, aby Wykonawca dysponował kuchnią awaryjną, w odległości nie większej niż 60 minut od siedziby Zamawiającego</w:t>
      </w:r>
    </w:p>
    <w:p w14:paraId="133A123E" w14:textId="2C978BA8" w:rsidR="009B645C" w:rsidRDefault="00C71AE6" w:rsidP="009B645C">
      <w:pPr>
        <w:pStyle w:val="Default"/>
        <w:spacing w:after="21"/>
        <w:rPr>
          <w:sz w:val="22"/>
          <w:szCs w:val="22"/>
        </w:rPr>
      </w:pPr>
      <w:r>
        <w:rPr>
          <w:color w:val="FF0000"/>
          <w:sz w:val="22"/>
          <w:szCs w:val="22"/>
        </w:rPr>
        <w:t xml:space="preserve">Odpowiedź: </w:t>
      </w:r>
      <w:r w:rsidRPr="009B645C">
        <w:rPr>
          <w:color w:val="FF0000"/>
          <w:sz w:val="22"/>
          <w:szCs w:val="22"/>
        </w:rPr>
        <w:t xml:space="preserve"> </w:t>
      </w:r>
      <w:r>
        <w:rPr>
          <w:color w:val="FF0000"/>
          <w:sz w:val="22"/>
          <w:szCs w:val="22"/>
        </w:rPr>
        <w:t>Kolejne fala ( fale) pandemii są nie do przewidzenia, w związku z tym wykonawca w swoim interesie powinie</w:t>
      </w:r>
      <w:r w:rsidR="00AF597A">
        <w:rPr>
          <w:color w:val="FF0000"/>
          <w:sz w:val="22"/>
          <w:szCs w:val="22"/>
        </w:rPr>
        <w:t>n</w:t>
      </w:r>
      <w:r>
        <w:rPr>
          <w:color w:val="FF0000"/>
          <w:sz w:val="22"/>
          <w:szCs w:val="22"/>
        </w:rPr>
        <w:t xml:space="preserve"> taką możliwość posiadać</w:t>
      </w:r>
    </w:p>
    <w:p w14:paraId="44750037" w14:textId="41271414" w:rsidR="009B645C" w:rsidRDefault="009B645C" w:rsidP="009B645C">
      <w:pPr>
        <w:pStyle w:val="Default"/>
        <w:spacing w:after="21"/>
        <w:rPr>
          <w:sz w:val="22"/>
          <w:szCs w:val="22"/>
        </w:rPr>
      </w:pPr>
      <w:r>
        <w:rPr>
          <w:sz w:val="22"/>
          <w:szCs w:val="22"/>
        </w:rPr>
        <w:t xml:space="preserve"> </w:t>
      </w:r>
    </w:p>
    <w:p w14:paraId="102FCF91" w14:textId="2E8D55E2" w:rsidR="00C71AE6" w:rsidRDefault="009B645C" w:rsidP="009B645C">
      <w:pPr>
        <w:pStyle w:val="Default"/>
        <w:spacing w:after="21"/>
        <w:rPr>
          <w:sz w:val="22"/>
          <w:szCs w:val="22"/>
        </w:rPr>
      </w:pPr>
      <w:r>
        <w:rPr>
          <w:sz w:val="22"/>
          <w:szCs w:val="22"/>
        </w:rPr>
        <w:t xml:space="preserve">11. W formularzu ofertowym Zamawiający wskazuje 55 śniadań, obiadów oraz kolacji, prosimy o wyjaśnienie czy taka ilość posiłków zamawiana jest w trakcie całego zamówienia, czy dziennie? Jeżeli dziennie to czy wskazany przeliczniki nie powinien być pomnożony przez 365 dni? </w:t>
      </w:r>
      <w:r w:rsidR="00964E37">
        <w:rPr>
          <w:sz w:val="22"/>
          <w:szCs w:val="22"/>
        </w:rPr>
        <w:t xml:space="preserve"> </w:t>
      </w:r>
    </w:p>
    <w:p w14:paraId="6206CBA5" w14:textId="473951CE" w:rsidR="00C71AE6" w:rsidRPr="00C71AE6" w:rsidRDefault="00C71AE6" w:rsidP="00C71AE6">
      <w:pPr>
        <w:pStyle w:val="Default"/>
        <w:rPr>
          <w:color w:val="FF0000"/>
          <w:sz w:val="22"/>
          <w:szCs w:val="22"/>
        </w:rPr>
      </w:pPr>
      <w:r w:rsidRPr="00C71AE6">
        <w:rPr>
          <w:color w:val="FF0000"/>
          <w:sz w:val="22"/>
          <w:szCs w:val="22"/>
        </w:rPr>
        <w:t xml:space="preserve">Odpowiedź: </w:t>
      </w:r>
      <w:r w:rsidR="00B468C8">
        <w:rPr>
          <w:color w:val="FF0000"/>
          <w:sz w:val="22"/>
          <w:szCs w:val="22"/>
        </w:rPr>
        <w:t>J</w:t>
      </w:r>
      <w:r w:rsidRPr="00C71AE6">
        <w:rPr>
          <w:color w:val="FF0000"/>
          <w:sz w:val="22"/>
          <w:szCs w:val="22"/>
        </w:rPr>
        <w:t>est to określone w SWZ</w:t>
      </w:r>
      <w:r w:rsidR="00B468C8">
        <w:rPr>
          <w:color w:val="FF0000"/>
          <w:sz w:val="22"/>
          <w:szCs w:val="22"/>
        </w:rPr>
        <w:t xml:space="preserve"> ( wzór formularza ofertowego)</w:t>
      </w:r>
    </w:p>
    <w:p w14:paraId="1E88F300" w14:textId="77777777" w:rsidR="009B645C" w:rsidRDefault="009B645C" w:rsidP="009B645C">
      <w:pPr>
        <w:pStyle w:val="Default"/>
        <w:spacing w:after="21"/>
        <w:rPr>
          <w:sz w:val="22"/>
          <w:szCs w:val="22"/>
        </w:rPr>
      </w:pPr>
    </w:p>
    <w:p w14:paraId="34DD3C4C" w14:textId="77777777" w:rsidR="009B645C" w:rsidRDefault="009B645C" w:rsidP="009B645C">
      <w:pPr>
        <w:pStyle w:val="Default"/>
        <w:rPr>
          <w:sz w:val="22"/>
          <w:szCs w:val="22"/>
        </w:rPr>
      </w:pPr>
      <w:r>
        <w:rPr>
          <w:sz w:val="22"/>
          <w:szCs w:val="22"/>
        </w:rPr>
        <w:t xml:space="preserve">12. Zwracamy się z prośba o wprowadzenie w wzorze umowy zapisu umożliwiającego stronom rozwiązanie umowy z 1 miesięcznym okresem wypowiedzenia. Proponujemy wprowadzenie następującego zapisu: „Każda ze stron może wypowiedzieć umowę z ważnych powodów z zachowaniem 1 miesięcznego okresu wypowiedzenia.” </w:t>
      </w:r>
    </w:p>
    <w:p w14:paraId="265F016F" w14:textId="77777777" w:rsidR="009B645C" w:rsidRDefault="009B645C" w:rsidP="009B645C">
      <w:pPr>
        <w:pStyle w:val="Default"/>
        <w:rPr>
          <w:sz w:val="22"/>
          <w:szCs w:val="22"/>
        </w:rPr>
      </w:pPr>
      <w:r>
        <w:rPr>
          <w:sz w:val="22"/>
          <w:szCs w:val="22"/>
        </w:rPr>
        <w:t xml:space="preserve">Należy zauważyć, że w przypadku umów długoterminowych zawieranych na okres 1 – 3 lat w momencie zawierania umowy strony nie są w stanie przewidzieć wszystkich okoliczności oraz czynników mogących mieć negatywny wpływ na wykonywanie zobowiązań umownych dla każdej ze stron, jak również w sposób kompleksowy i wyczerpujący uregulować procedury postępowania w takich wypadkach, Wprowadzenie możliwości rozwiązania umowy za wypowiedzeniem ma na celu stworzenie podstaw prawnych do zakończenia stosunku prawnego pomiędzy stronami, jeżeli z określonych powodów nie są one zainteresowane dalszym kontynuowaniem współpracy na dotychczasowych warunkach. Mając na względzie dynamikę życia gospodarczego, czyli pojawianie się nowych technologii wykonywania zamówień, czy też nowych środków, może po kilku latach dojść do sytuacji, gdy jedna ze stron w tym również zamawiający będzie chciał skorzystać z jednostronnego uprawnienia do zakończenia umowy przed upływem jej obowiązywania. Obowiązujące przepisy ustawy prawo zamówień publicznych nie zawierają w tym zakresie żadnych zakazów. </w:t>
      </w:r>
    </w:p>
    <w:p w14:paraId="70132B5E" w14:textId="7F247F63" w:rsidR="00B468C8" w:rsidRDefault="009B645C" w:rsidP="009B645C">
      <w:pPr>
        <w:pStyle w:val="Default"/>
        <w:rPr>
          <w:sz w:val="22"/>
          <w:szCs w:val="22"/>
        </w:rPr>
      </w:pPr>
      <w:r>
        <w:rPr>
          <w:sz w:val="22"/>
          <w:szCs w:val="22"/>
        </w:rPr>
        <w:t xml:space="preserve">Celem każdego postępowania o udzielenie zamówienia publicznego jest wyłonienie podmiotu zdolnego do wykonania danego zamówienia. Prawnie ustalona procedura reguluje sposób eliminowania wykonawców, którzy albo nie są zdolni do wykonania zamówienia, albo nie spełniają innych postawionych im wymogów. </w:t>
      </w:r>
    </w:p>
    <w:p w14:paraId="25C6C04A" w14:textId="4E3DC47E" w:rsidR="009B645C" w:rsidRPr="00B468C8" w:rsidRDefault="00B468C8" w:rsidP="009B645C">
      <w:pPr>
        <w:pStyle w:val="Default"/>
        <w:rPr>
          <w:color w:val="FF0000"/>
          <w:sz w:val="22"/>
          <w:szCs w:val="22"/>
        </w:rPr>
      </w:pPr>
      <w:r w:rsidRPr="00B468C8">
        <w:rPr>
          <w:color w:val="FF0000"/>
          <w:sz w:val="22"/>
          <w:szCs w:val="22"/>
        </w:rPr>
        <w:t>Odpowiedź: zgodnie z SWZ</w:t>
      </w:r>
      <w:r w:rsidR="009A56E1" w:rsidRPr="00B468C8">
        <w:rPr>
          <w:color w:val="FF0000"/>
          <w:sz w:val="22"/>
          <w:szCs w:val="22"/>
        </w:rPr>
        <w:t xml:space="preserve"> </w:t>
      </w:r>
    </w:p>
    <w:p w14:paraId="5A4B850C" w14:textId="77777777" w:rsidR="009A56E1" w:rsidRDefault="009A56E1" w:rsidP="009B645C">
      <w:pPr>
        <w:pStyle w:val="Default"/>
        <w:rPr>
          <w:sz w:val="22"/>
          <w:szCs w:val="22"/>
        </w:rPr>
      </w:pPr>
    </w:p>
    <w:p w14:paraId="1B5E461B" w14:textId="41EA3514" w:rsidR="009B645C" w:rsidRDefault="009B645C" w:rsidP="00E47229">
      <w:pPr>
        <w:pStyle w:val="Default"/>
        <w:rPr>
          <w:sz w:val="22"/>
          <w:szCs w:val="22"/>
        </w:rPr>
      </w:pPr>
      <w:r>
        <w:rPr>
          <w:sz w:val="22"/>
          <w:szCs w:val="22"/>
        </w:rPr>
        <w:t xml:space="preserve">13. Zamawiający w SIWZ nie określił warunków udziału w postępowaniu w zakresie zdolności technicznej lub zawodowej, narażając się na ryzyko wyboru wykonawcy niezdolnego do wykonania zamówienia publicznego, który nie posiada odpowiedniego doświadczenia do jego wykonania lub w stosunku do którego, ze względu na sytuację podmiotową zachodzi prawdopodobieństwo niewykonania lub nienależytego wykonania zamówienia. Zgodnie z art. 22 ust.1a ustawy </w:t>
      </w:r>
      <w:proofErr w:type="spellStart"/>
      <w:r>
        <w:rPr>
          <w:sz w:val="22"/>
          <w:szCs w:val="22"/>
        </w:rPr>
        <w:t>Pzp</w:t>
      </w:r>
      <w:proofErr w:type="spellEnd"/>
      <w:r>
        <w:rPr>
          <w:sz w:val="22"/>
          <w:szCs w:val="22"/>
        </w:rPr>
        <w:t xml:space="preserve"> Zamawiający określa warunki udziału w sposób proporcjonalny do przedmiot zamówienia oraz umożliwiający ocenę zdolności wykonawcy do należytego wykonania zamówienia. Z powyższego </w:t>
      </w:r>
      <w:r>
        <w:rPr>
          <w:sz w:val="22"/>
          <w:szCs w:val="22"/>
        </w:rPr>
        <w:lastRenderedPageBreak/>
        <w:t xml:space="preserve">wynika, że Zamawiający, poprzez dokonanie opisu sposobu dokonania oceny spełnienia warunku udziału w postępowaniu dotyczącego zdolności </w:t>
      </w:r>
    </w:p>
    <w:p w14:paraId="32B4D944" w14:textId="77777777" w:rsidR="00AF597A" w:rsidRDefault="009B645C" w:rsidP="009B645C">
      <w:pPr>
        <w:pStyle w:val="Default"/>
        <w:rPr>
          <w:sz w:val="22"/>
          <w:szCs w:val="22"/>
        </w:rPr>
      </w:pPr>
      <w:r>
        <w:rPr>
          <w:sz w:val="22"/>
          <w:szCs w:val="22"/>
        </w:rPr>
        <w:t>technicznej lub zawodowej – winien uwzględnić przedmiot udzielanego przez siebie zamówienia, w tym jego szczególny charakter (vide: wyrok KIO z dnia 06.06.2013, KIO 1064/12, wyrok KIO z dnia 22.02.2013, KIO 286/13, wyrok KIO z dnia 24.01.2013, KIO 78/13).</w:t>
      </w:r>
    </w:p>
    <w:p w14:paraId="1D27CF68" w14:textId="77777777" w:rsidR="00AF597A" w:rsidRPr="00B468C8" w:rsidRDefault="009B645C" w:rsidP="00AF597A">
      <w:pPr>
        <w:pStyle w:val="Default"/>
        <w:rPr>
          <w:color w:val="FF0000"/>
          <w:sz w:val="22"/>
          <w:szCs w:val="22"/>
        </w:rPr>
      </w:pPr>
      <w:r>
        <w:rPr>
          <w:sz w:val="22"/>
          <w:szCs w:val="22"/>
        </w:rPr>
        <w:t xml:space="preserve"> </w:t>
      </w:r>
      <w:r w:rsidR="00AF597A" w:rsidRPr="00B468C8">
        <w:rPr>
          <w:color w:val="FF0000"/>
          <w:sz w:val="22"/>
          <w:szCs w:val="22"/>
        </w:rPr>
        <w:t xml:space="preserve">Odpowiedź: zgodnie z SWZ </w:t>
      </w:r>
    </w:p>
    <w:p w14:paraId="0AB4317C" w14:textId="1B4C94FC" w:rsidR="009B645C" w:rsidRDefault="009B645C" w:rsidP="009B645C">
      <w:pPr>
        <w:pStyle w:val="Default"/>
        <w:rPr>
          <w:sz w:val="22"/>
          <w:szCs w:val="22"/>
        </w:rPr>
      </w:pPr>
    </w:p>
    <w:p w14:paraId="3DDB13F3" w14:textId="77777777" w:rsidR="009B645C" w:rsidRDefault="009B645C" w:rsidP="009B645C">
      <w:pPr>
        <w:pStyle w:val="Default"/>
        <w:rPr>
          <w:sz w:val="22"/>
          <w:szCs w:val="22"/>
        </w:rPr>
      </w:pPr>
    </w:p>
    <w:p w14:paraId="18992A12" w14:textId="77777777" w:rsidR="009B645C" w:rsidRDefault="009B645C" w:rsidP="009B645C">
      <w:pPr>
        <w:pStyle w:val="Default"/>
        <w:rPr>
          <w:sz w:val="22"/>
          <w:szCs w:val="22"/>
        </w:rPr>
      </w:pPr>
      <w:r>
        <w:rPr>
          <w:sz w:val="22"/>
          <w:szCs w:val="22"/>
        </w:rPr>
        <w:t xml:space="preserve">Skoro przedmiotem niniejszego postępowania jest wykonywanie usług przygotowania i dostarczania całodziennych posiłków dla pacjentów szpitala, to ukształtowanie warunku udziału w postępowaniu w zakresie zdolności technicznej i zawodowej powinno być zatem – zgodnie z dyspozycja w/w przepisu – określone w ten sposób, że Wykonawca winien legitymować się wiedzą i doświadczeniem w wykonaniu usług przygotowania i dostarczania całodziennych posiłków dla pacjentów szpitala. </w:t>
      </w:r>
    </w:p>
    <w:p w14:paraId="46EFB161" w14:textId="77777777" w:rsidR="009B645C" w:rsidRDefault="009B645C" w:rsidP="009B645C">
      <w:pPr>
        <w:pStyle w:val="Default"/>
        <w:rPr>
          <w:sz w:val="22"/>
          <w:szCs w:val="22"/>
        </w:rPr>
      </w:pPr>
      <w:r>
        <w:rPr>
          <w:sz w:val="22"/>
          <w:szCs w:val="22"/>
        </w:rPr>
        <w:t xml:space="preserve">Biorąc powyższe pod uwagę, wnosimy o wprowadzenie zapisów do SIWZ obligujących Wykonawców do wykazania posiadanego doświadczenia w wykonywaniu podobnych usług. </w:t>
      </w:r>
    </w:p>
    <w:p w14:paraId="7474C2F5" w14:textId="77777777" w:rsidR="009B645C" w:rsidRDefault="009B645C" w:rsidP="009B645C">
      <w:pPr>
        <w:pStyle w:val="Default"/>
        <w:rPr>
          <w:sz w:val="22"/>
          <w:szCs w:val="22"/>
        </w:rPr>
      </w:pPr>
      <w:r>
        <w:rPr>
          <w:sz w:val="22"/>
          <w:szCs w:val="22"/>
        </w:rPr>
        <w:t xml:space="preserve">Prosimy więc o wprowadzenie do warunków udziału następującej treści: </w:t>
      </w:r>
    </w:p>
    <w:p w14:paraId="394E9B9A" w14:textId="1B7E8275" w:rsidR="00B468C8" w:rsidRDefault="009B645C" w:rsidP="009B645C">
      <w:pPr>
        <w:pStyle w:val="Default"/>
        <w:rPr>
          <w:sz w:val="22"/>
          <w:szCs w:val="22"/>
        </w:rPr>
      </w:pPr>
      <w:r>
        <w:rPr>
          <w:sz w:val="22"/>
          <w:szCs w:val="22"/>
        </w:rPr>
        <w:t>„Wykonawca spełni warunki udziału w postępowaniu dotyczących zdolności technicznej lub zawodowej określonych w SIWZ, jeżeli wykaże ,że w okresie ostatnich trzech lat przed terminem składania ofert a jeżeli okres prowadzenia działalności jest krótszy w tym okresie, wykonał, a w przypadku świadczeń okresowych lub ciągłych wykonuje minimum trzy usługi przygotowania i dostarczania całodziennych posiłków dla min. 55 pacjentów szpitala dziennie, o wartości brutto minimum 300.000,00 złotych rocznie każda oraz załączy dowody potwierdzające, że te usługi zostały wykonane lub są wykonywane należycie?</w:t>
      </w:r>
    </w:p>
    <w:p w14:paraId="5D4CC17F" w14:textId="4EFE8D0A" w:rsidR="00A5347E" w:rsidRDefault="00B468C8" w:rsidP="009B645C">
      <w:pPr>
        <w:pStyle w:val="Default"/>
        <w:rPr>
          <w:sz w:val="22"/>
          <w:szCs w:val="22"/>
        </w:rPr>
      </w:pPr>
      <w:r w:rsidRPr="00C71AE6">
        <w:rPr>
          <w:color w:val="FF0000"/>
          <w:sz w:val="22"/>
          <w:szCs w:val="22"/>
        </w:rPr>
        <w:t xml:space="preserve">Odpowiedź: </w:t>
      </w:r>
      <w:r>
        <w:rPr>
          <w:color w:val="FF0000"/>
          <w:sz w:val="22"/>
          <w:szCs w:val="22"/>
        </w:rPr>
        <w:t xml:space="preserve">Zostało </w:t>
      </w:r>
      <w:r w:rsidRPr="00C71AE6">
        <w:rPr>
          <w:color w:val="FF0000"/>
          <w:sz w:val="22"/>
          <w:szCs w:val="22"/>
        </w:rPr>
        <w:t>to określone w SWZ</w:t>
      </w:r>
      <w:r>
        <w:rPr>
          <w:color w:val="FF0000"/>
          <w:sz w:val="22"/>
          <w:szCs w:val="22"/>
        </w:rPr>
        <w:t xml:space="preserve"> (dodatkowo załącznik nr 7)</w:t>
      </w:r>
    </w:p>
    <w:p w14:paraId="6B548FC6" w14:textId="77777777" w:rsidR="00E47229" w:rsidRDefault="00E47229" w:rsidP="009B645C">
      <w:pPr>
        <w:pStyle w:val="Default"/>
        <w:rPr>
          <w:sz w:val="22"/>
          <w:szCs w:val="22"/>
        </w:rPr>
      </w:pPr>
    </w:p>
    <w:p w14:paraId="15A4FED5" w14:textId="048586E4" w:rsidR="009B645C" w:rsidRDefault="009B645C" w:rsidP="009B645C">
      <w:pPr>
        <w:pStyle w:val="Default"/>
        <w:rPr>
          <w:sz w:val="22"/>
          <w:szCs w:val="22"/>
        </w:rPr>
      </w:pPr>
      <w:r>
        <w:rPr>
          <w:sz w:val="22"/>
          <w:szCs w:val="22"/>
        </w:rPr>
        <w:t xml:space="preserve">14. Wnosimy o wyrażenie zgody na zatrudnienie pracowników na umowę zlecenie wyłącznie w przypadku nagłych i niespodziewanych nieobecności, pracownika zatrudnionego na umowę </w:t>
      </w:r>
    </w:p>
    <w:p w14:paraId="75D0EFCB" w14:textId="77777777" w:rsidR="009B645C" w:rsidRDefault="009B645C" w:rsidP="009B645C">
      <w:pPr>
        <w:pStyle w:val="Default"/>
        <w:rPr>
          <w:sz w:val="22"/>
          <w:szCs w:val="22"/>
        </w:rPr>
      </w:pPr>
      <w:r>
        <w:rPr>
          <w:sz w:val="22"/>
          <w:szCs w:val="22"/>
        </w:rPr>
        <w:t xml:space="preserve">o pracę, wynikających z przyczyn losowych (m.in. zwolnienia lekarskie, porodu, urlopu na żądanie). </w:t>
      </w:r>
    </w:p>
    <w:p w14:paraId="6B8C2459" w14:textId="77777777" w:rsidR="009B645C" w:rsidRDefault="009B645C" w:rsidP="009B645C">
      <w:pPr>
        <w:pStyle w:val="Default"/>
        <w:rPr>
          <w:sz w:val="22"/>
          <w:szCs w:val="22"/>
        </w:rPr>
      </w:pPr>
      <w:r>
        <w:rPr>
          <w:sz w:val="22"/>
          <w:szCs w:val="22"/>
        </w:rPr>
        <w:t xml:space="preserve">Konieczność zachowania wymogu zatrudnienia wyłącznie na umowę o pracę w sytuacjach losowych, zdarzeniach niemożliwych do przewidzenia jest nierealne. Wykonawca nie jest w stanie przewidzieć ile osób będzie w danym okresie czasu np. na zwolnieniu lekarskim. Zatrudnienie na umowę o pracę poprzedzane jest spełnieniem szeregu wymagań m. in. wykonaniem i dostarczenia badań lekarskich </w:t>
      </w:r>
    </w:p>
    <w:p w14:paraId="435E00A6" w14:textId="77777777" w:rsidR="00A5347E" w:rsidRDefault="009B645C" w:rsidP="009B645C">
      <w:pPr>
        <w:pStyle w:val="Default"/>
        <w:rPr>
          <w:sz w:val="22"/>
          <w:szCs w:val="22"/>
        </w:rPr>
      </w:pPr>
      <w:r>
        <w:rPr>
          <w:sz w:val="22"/>
          <w:szCs w:val="22"/>
        </w:rPr>
        <w:t>z zakresu medycyny pracy, czy szkoleń BHP, co w sytuacjach nagłych jest nierealne i wymaga dodatkowego czasu. W związku z powyższym wnosimy jak na wstępie.</w:t>
      </w:r>
    </w:p>
    <w:p w14:paraId="4EC38E43" w14:textId="119492AD" w:rsidR="00A5347E" w:rsidRPr="00E47229" w:rsidRDefault="00A5347E" w:rsidP="00A5347E">
      <w:pPr>
        <w:pStyle w:val="Default"/>
        <w:rPr>
          <w:color w:val="FF0000"/>
          <w:sz w:val="22"/>
          <w:szCs w:val="22"/>
        </w:rPr>
      </w:pPr>
      <w:r w:rsidRPr="00E47229">
        <w:rPr>
          <w:color w:val="FF0000"/>
          <w:sz w:val="22"/>
          <w:szCs w:val="22"/>
        </w:rPr>
        <w:t xml:space="preserve">Odpowiedź: </w:t>
      </w:r>
      <w:r w:rsidRPr="00E47229">
        <w:rPr>
          <w:color w:val="FF0000"/>
        </w:rPr>
        <w:t xml:space="preserve">Zamawiający wyraża zgodę, ale nie dłużej niż tylko na okres zwolnienia lekarskiego i </w:t>
      </w:r>
      <w:r w:rsidRPr="00E47229">
        <w:rPr>
          <w:color w:val="FF0000"/>
        </w:rPr>
        <w:tab/>
        <w:t>okresu kwarantanny, wykonawca musi potwierdzić to odpowiednim dokumentem i uzyskać zgodę zamawiającego.</w:t>
      </w:r>
    </w:p>
    <w:p w14:paraId="5AD23EE4" w14:textId="77777777" w:rsidR="00A5347E" w:rsidRDefault="00A5347E" w:rsidP="009B645C">
      <w:pPr>
        <w:pStyle w:val="Default"/>
        <w:rPr>
          <w:sz w:val="22"/>
          <w:szCs w:val="22"/>
        </w:rPr>
      </w:pPr>
    </w:p>
    <w:p w14:paraId="7A5B4FDB" w14:textId="084BB102" w:rsidR="009B645C" w:rsidRDefault="009B645C" w:rsidP="009B645C">
      <w:pPr>
        <w:pStyle w:val="Default"/>
        <w:rPr>
          <w:sz w:val="22"/>
          <w:szCs w:val="22"/>
        </w:rPr>
      </w:pPr>
      <w:r>
        <w:rPr>
          <w:sz w:val="22"/>
          <w:szCs w:val="22"/>
        </w:rPr>
        <w:t xml:space="preserve"> </w:t>
      </w:r>
    </w:p>
    <w:p w14:paraId="7E18FA78" w14:textId="6F65AB83" w:rsidR="00E47229" w:rsidRDefault="009B645C" w:rsidP="009B645C">
      <w:pPr>
        <w:pStyle w:val="Default"/>
        <w:spacing w:after="21"/>
        <w:rPr>
          <w:sz w:val="22"/>
          <w:szCs w:val="22"/>
        </w:rPr>
      </w:pPr>
      <w:r>
        <w:rPr>
          <w:sz w:val="22"/>
          <w:szCs w:val="22"/>
        </w:rPr>
        <w:t>15. Z treści art.462 ust. 2 regulującego wprowadzanie podwykonawców wynika, iż obowiązek wskazania nazw podwykonawców dotyczy jedynie podwykonawców znanych na etapie składania oferty. Na etapie składania ofert Wykonawca nie zawsze jest w stanie podać dokładnych danych podwykonawcy z którego usług będzie korzystał. Dopiero w trakcie realizacji zamówienia na potrzeby należytego wykonania usługi Wykonawca może skorzystać z usług podwykonawcy, a co za tym idzie przekazać Zamawiającemu wymagane dane i informacje o podwykonawcy. W związku z powyższym prosimy o potwierdzenie czy Wykonawca dobrze rozumie, że obowiązek wskazania nazw podwykonawców dotyczy jedynie tych, znanych na etapie składania oferty, którzy w szczególności udostępniają swoje zasoby lub których wykonawca będzie chciał uwzględnić w wyjaśnieniach niskiej ceny.</w:t>
      </w:r>
    </w:p>
    <w:p w14:paraId="078C34E5" w14:textId="0AA0EC98" w:rsidR="00E47229" w:rsidRPr="00E47229" w:rsidRDefault="00C71AE6" w:rsidP="009B645C">
      <w:pPr>
        <w:pStyle w:val="Default"/>
        <w:spacing w:after="21"/>
        <w:rPr>
          <w:color w:val="FF0000"/>
          <w:sz w:val="22"/>
          <w:szCs w:val="22"/>
        </w:rPr>
      </w:pPr>
      <w:r>
        <w:rPr>
          <w:color w:val="FF0000"/>
          <w:sz w:val="22"/>
          <w:szCs w:val="22"/>
        </w:rPr>
        <w:t>Odpowiedź:</w:t>
      </w:r>
      <w:r w:rsidR="00E47229">
        <w:rPr>
          <w:color w:val="FF0000"/>
          <w:sz w:val="22"/>
          <w:szCs w:val="22"/>
        </w:rPr>
        <w:t xml:space="preserve"> </w:t>
      </w:r>
      <w:r w:rsidR="00A5347E">
        <w:rPr>
          <w:color w:val="FF0000"/>
          <w:sz w:val="22"/>
          <w:szCs w:val="22"/>
        </w:rPr>
        <w:t>Interpretacja pytającego jest prawidłowa</w:t>
      </w:r>
    </w:p>
    <w:p w14:paraId="33CCBCF4" w14:textId="77777777" w:rsidR="00E47229" w:rsidRDefault="00E47229" w:rsidP="009B645C">
      <w:pPr>
        <w:pStyle w:val="Default"/>
        <w:spacing w:after="21"/>
        <w:rPr>
          <w:sz w:val="22"/>
          <w:szCs w:val="22"/>
        </w:rPr>
      </w:pPr>
    </w:p>
    <w:p w14:paraId="75E68D43" w14:textId="2A71B93A" w:rsidR="00A5347E" w:rsidRDefault="009B645C" w:rsidP="009B645C">
      <w:pPr>
        <w:pStyle w:val="Default"/>
        <w:rPr>
          <w:sz w:val="22"/>
          <w:szCs w:val="22"/>
        </w:rPr>
      </w:pPr>
      <w:r>
        <w:rPr>
          <w:sz w:val="22"/>
          <w:szCs w:val="22"/>
        </w:rPr>
        <w:t xml:space="preserve">16. Wnosimy o zmianę o 50% wysokości kary umownej o której mowa w projekcie umowy. W doktrynie prawa zamówień publicznych oraz w aktualnym orzecznictwie Krajowej Izby Odwoławczej przy Prezesie Urzędu Zamówień Publicznych dominuje pogląd, że ustanawianie przez zamawiającego </w:t>
      </w:r>
      <w:r>
        <w:rPr>
          <w:sz w:val="22"/>
          <w:szCs w:val="22"/>
        </w:rPr>
        <w:lastRenderedPageBreak/>
        <w:t xml:space="preserve">w umowie rażąco wysokich kar umownych uznać należy bezwzględnie za naruszenie zasad zachowania uczciwej konkurencji wyrażonej w przepisie art. 16 ust. 1 ustawy z dnia 11 września 2019 r prawo zamówień publicznych, które może być uzasadnioną podstawą do żądania unieważnienia postępowania o udzielenie zamówienia publicznego w trybie art. 255 ust. 6 ustawy prawo zamówień publicznych z uwagi, iż postępowanie jest obarczone wadą uniemożliwiającą zawarcie ważnej umowy w sprawie zamówienia publicznego. Stanowisko powyższe znajduje pełne potwierdzenie m.in. wyroku Krajowej Izby Odwoławczej z dnia 31 lipca 2015 r. sygn. akt: KIO/1519/15. Zważyć bowiem należy, że kara umowna (odszkodowanie umowne) ze swojej istoty ma charakter wyłącznie odszkodowawczy i kompensacyjny, a nie zaś prewencyjny. </w:t>
      </w:r>
    </w:p>
    <w:p w14:paraId="745AA246" w14:textId="1675A32F" w:rsidR="009B645C" w:rsidRDefault="00C71AE6" w:rsidP="00A5347E">
      <w:pPr>
        <w:pStyle w:val="Default"/>
        <w:rPr>
          <w:color w:val="FF0000"/>
          <w:sz w:val="22"/>
          <w:szCs w:val="22"/>
        </w:rPr>
      </w:pPr>
      <w:r>
        <w:rPr>
          <w:color w:val="FF0000"/>
          <w:sz w:val="22"/>
          <w:szCs w:val="22"/>
        </w:rPr>
        <w:t>Odpowiedź</w:t>
      </w:r>
      <w:r w:rsidR="00A5347E" w:rsidRPr="00A5347E">
        <w:rPr>
          <w:color w:val="FF0000"/>
          <w:sz w:val="22"/>
          <w:szCs w:val="22"/>
        </w:rPr>
        <w:t>. postanowienia projektu umowy pozostają bez zmian</w:t>
      </w:r>
    </w:p>
    <w:p w14:paraId="3A020C41" w14:textId="77777777" w:rsidR="00B468C8" w:rsidRDefault="00B468C8" w:rsidP="00A5347E">
      <w:pPr>
        <w:pStyle w:val="Default"/>
        <w:rPr>
          <w:sz w:val="22"/>
          <w:szCs w:val="22"/>
        </w:rPr>
      </w:pPr>
    </w:p>
    <w:p w14:paraId="54104EB7" w14:textId="77777777" w:rsidR="009B645C" w:rsidRDefault="009B645C" w:rsidP="009B645C">
      <w:pPr>
        <w:pStyle w:val="Default"/>
        <w:rPr>
          <w:sz w:val="22"/>
          <w:szCs w:val="22"/>
        </w:rPr>
      </w:pPr>
      <w:r>
        <w:rPr>
          <w:i/>
          <w:iCs/>
          <w:sz w:val="22"/>
          <w:szCs w:val="22"/>
        </w:rPr>
        <w:t xml:space="preserve">17. </w:t>
      </w:r>
      <w:r>
        <w:rPr>
          <w:sz w:val="22"/>
          <w:szCs w:val="22"/>
        </w:rPr>
        <w:t xml:space="preserve">Wnosimy o modyfikację zapisów projektu umowy – poprzez dookreślenie zasad realizacji przez Zamawiającego obowiązku wynikającego z art. 436 ust. 4 punkt b ustawy Prawo zamówień publicznych w treści obowiązującej po dniu 1 stycznia 2021 r. tj. w treści, którą stosuje się do przedmiotowego postępowania nakazują: „umowa zawiera postanowienia określające w szczególności: </w:t>
      </w:r>
      <w:r>
        <w:rPr>
          <w:i/>
          <w:iCs/>
          <w:sz w:val="22"/>
          <w:szCs w:val="22"/>
        </w:rPr>
        <w:t xml:space="preserve">w przypadku umów zawieranych na okres dłuższy niż 12 miesięcy: </w:t>
      </w:r>
    </w:p>
    <w:p w14:paraId="10A8A2EB" w14:textId="77777777" w:rsidR="009B645C" w:rsidRDefault="009B645C" w:rsidP="009B645C">
      <w:pPr>
        <w:pStyle w:val="Default"/>
        <w:rPr>
          <w:sz w:val="22"/>
          <w:szCs w:val="22"/>
        </w:rPr>
      </w:pPr>
    </w:p>
    <w:p w14:paraId="307EBC15" w14:textId="77777777" w:rsidR="009B645C" w:rsidRDefault="009B645C" w:rsidP="009B645C">
      <w:pPr>
        <w:pStyle w:val="Default"/>
        <w:rPr>
          <w:sz w:val="22"/>
          <w:szCs w:val="22"/>
        </w:rPr>
      </w:pPr>
      <w:r>
        <w:rPr>
          <w:i/>
          <w:iCs/>
          <w:sz w:val="22"/>
          <w:szCs w:val="22"/>
        </w:rPr>
        <w:t xml:space="preserve">zasady wprowadzania zmian wysokości wynagrodzenia w przypadku zmiany: </w:t>
      </w:r>
    </w:p>
    <w:p w14:paraId="090239A4" w14:textId="77777777" w:rsidR="009B645C" w:rsidRDefault="009B645C" w:rsidP="009B645C">
      <w:pPr>
        <w:pStyle w:val="Default"/>
        <w:rPr>
          <w:sz w:val="22"/>
          <w:szCs w:val="22"/>
        </w:rPr>
      </w:pPr>
      <w:r>
        <w:rPr>
          <w:i/>
          <w:iCs/>
          <w:sz w:val="22"/>
          <w:szCs w:val="22"/>
        </w:rPr>
        <w:t xml:space="preserve">‒ stawki podatku od towarów i usług oraz podatku akcyzowego, </w:t>
      </w:r>
    </w:p>
    <w:p w14:paraId="3569EB0C" w14:textId="77777777" w:rsidR="009B645C" w:rsidRDefault="009B645C" w:rsidP="009B645C">
      <w:pPr>
        <w:pStyle w:val="Default"/>
        <w:rPr>
          <w:sz w:val="22"/>
          <w:szCs w:val="22"/>
        </w:rPr>
      </w:pPr>
      <w:r>
        <w:rPr>
          <w:i/>
          <w:iCs/>
          <w:sz w:val="22"/>
          <w:szCs w:val="22"/>
        </w:rPr>
        <w:t xml:space="preserve">‒ wysokości minimalnego wynagrodzenia za pracę albo wysokości minimalnej stawki godzinowej, ustalonych na podstawie ustawy z dnia 10 października 2002 r. o minimalnym wynagrodzeniu za pracę, </w:t>
      </w:r>
    </w:p>
    <w:p w14:paraId="3B6AF41E" w14:textId="77777777" w:rsidR="009B645C" w:rsidRDefault="009B645C" w:rsidP="009B645C">
      <w:pPr>
        <w:pStyle w:val="Default"/>
        <w:rPr>
          <w:sz w:val="22"/>
          <w:szCs w:val="22"/>
        </w:rPr>
      </w:pPr>
      <w:r>
        <w:rPr>
          <w:i/>
          <w:iCs/>
          <w:sz w:val="22"/>
          <w:szCs w:val="22"/>
        </w:rPr>
        <w:t xml:space="preserve">‒ zasad podlegania ubezpieczeniom społecznym lub ubezpieczeniu zdrowotnemu lub wysokości stawki składki na ubezpieczenia społeczne lub ubezpieczenie zdrowotne, </w:t>
      </w:r>
    </w:p>
    <w:p w14:paraId="1123E4B0" w14:textId="77777777" w:rsidR="009B645C" w:rsidRDefault="009B645C" w:rsidP="009B645C">
      <w:pPr>
        <w:pStyle w:val="Default"/>
        <w:rPr>
          <w:sz w:val="22"/>
          <w:szCs w:val="22"/>
        </w:rPr>
      </w:pPr>
      <w:r>
        <w:rPr>
          <w:i/>
          <w:iCs/>
          <w:sz w:val="22"/>
          <w:szCs w:val="22"/>
        </w:rPr>
        <w:t xml:space="preserve">‒ zasad gromadzenia i wysokości wpłat do pracowniczych planów kapitałowych, o których mowa w ustawie z dnia 4 października 2018 r. o pracowniczych planach kapitałowych (Dz. U. poz. 2215 oraz z 2019 r. poz. 1074 i 1572) </w:t>
      </w:r>
    </w:p>
    <w:p w14:paraId="2908F9D9" w14:textId="77777777" w:rsidR="009B645C" w:rsidRDefault="009B645C" w:rsidP="009B645C">
      <w:pPr>
        <w:pStyle w:val="Default"/>
        <w:rPr>
          <w:sz w:val="22"/>
          <w:szCs w:val="22"/>
        </w:rPr>
      </w:pPr>
      <w:r>
        <w:rPr>
          <w:i/>
          <w:iCs/>
          <w:sz w:val="22"/>
          <w:szCs w:val="22"/>
        </w:rPr>
        <w:t xml:space="preserve">‒ jeżeli zmiany te będą miały wpływ na koszty wykonania zamówienia przez wykonawcę. </w:t>
      </w:r>
    </w:p>
    <w:p w14:paraId="5865BF5D" w14:textId="00041643" w:rsidR="009B645C" w:rsidRDefault="009B645C" w:rsidP="009B645C">
      <w:pPr>
        <w:pStyle w:val="Default"/>
        <w:rPr>
          <w:b/>
          <w:bCs/>
          <w:sz w:val="22"/>
          <w:szCs w:val="22"/>
        </w:rPr>
      </w:pPr>
      <w:r>
        <w:rPr>
          <w:b/>
          <w:bCs/>
          <w:sz w:val="22"/>
          <w:szCs w:val="22"/>
        </w:rPr>
        <w:t xml:space="preserve">Zamawiający nie zawarł w projekcie umowy wszystkich obligatoryjnych przesłanek zmiany wynagrodzenia Wykonawcy wymienionych w art. 436 ust. 4 podpunkcie b ustawy </w:t>
      </w:r>
      <w:proofErr w:type="spellStart"/>
      <w:r>
        <w:rPr>
          <w:b/>
          <w:bCs/>
          <w:sz w:val="22"/>
          <w:szCs w:val="22"/>
        </w:rPr>
        <w:t>Pzp</w:t>
      </w:r>
      <w:proofErr w:type="spellEnd"/>
      <w:r>
        <w:rPr>
          <w:b/>
          <w:bCs/>
          <w:sz w:val="22"/>
          <w:szCs w:val="22"/>
        </w:rPr>
        <w:t xml:space="preserve"> , w związku z tym prosimy o uzupełnienie treści wzoru umowy w tym zakresie. </w:t>
      </w:r>
    </w:p>
    <w:p w14:paraId="37D6CBA0" w14:textId="2FED3886" w:rsidR="00A5347E" w:rsidRDefault="00A5347E" w:rsidP="009B645C">
      <w:pPr>
        <w:pStyle w:val="Default"/>
        <w:rPr>
          <w:b/>
          <w:bCs/>
          <w:sz w:val="22"/>
          <w:szCs w:val="22"/>
        </w:rPr>
      </w:pPr>
    </w:p>
    <w:p w14:paraId="3A9E2999" w14:textId="5BB7FD38" w:rsidR="00A5347E" w:rsidRPr="00AF597A" w:rsidRDefault="00AF597A" w:rsidP="009B645C">
      <w:pPr>
        <w:pStyle w:val="Default"/>
        <w:rPr>
          <w:color w:val="FF0000"/>
          <w:sz w:val="22"/>
          <w:szCs w:val="22"/>
        </w:rPr>
      </w:pPr>
      <w:r w:rsidRPr="00AF597A">
        <w:rPr>
          <w:color w:val="FF0000"/>
          <w:sz w:val="22"/>
          <w:szCs w:val="22"/>
        </w:rPr>
        <w:t>Zmodyfikowano wzór umowy</w:t>
      </w:r>
    </w:p>
    <w:p w14:paraId="500FA5C3" w14:textId="0357118B" w:rsidR="00A5347E" w:rsidRDefault="00A5347E" w:rsidP="009B645C">
      <w:pPr>
        <w:pStyle w:val="Default"/>
        <w:rPr>
          <w:b/>
          <w:bCs/>
          <w:sz w:val="22"/>
          <w:szCs w:val="22"/>
        </w:rPr>
      </w:pPr>
    </w:p>
    <w:p w14:paraId="3E48C3F5" w14:textId="77777777" w:rsidR="00A5347E" w:rsidRDefault="00A5347E" w:rsidP="009B645C">
      <w:pPr>
        <w:pStyle w:val="Default"/>
        <w:rPr>
          <w:sz w:val="22"/>
          <w:szCs w:val="22"/>
        </w:rPr>
      </w:pPr>
    </w:p>
    <w:p w14:paraId="526B4234" w14:textId="77777777" w:rsidR="009B645C" w:rsidRDefault="009B645C" w:rsidP="009B645C">
      <w:pPr>
        <w:pStyle w:val="Default"/>
        <w:rPr>
          <w:sz w:val="22"/>
          <w:szCs w:val="22"/>
        </w:rPr>
      </w:pPr>
      <w:r>
        <w:rPr>
          <w:sz w:val="22"/>
          <w:szCs w:val="22"/>
        </w:rPr>
        <w:t xml:space="preserve">18. Wnosimy o modyfikację zapisów projektu umowy- poprzez dookreślenie zasad </w:t>
      </w:r>
    </w:p>
    <w:p w14:paraId="77D7A28C" w14:textId="77777777" w:rsidR="009B645C" w:rsidRDefault="009B645C" w:rsidP="009B645C">
      <w:pPr>
        <w:pStyle w:val="Default"/>
        <w:rPr>
          <w:sz w:val="22"/>
          <w:szCs w:val="22"/>
        </w:rPr>
      </w:pPr>
    </w:p>
    <w:p w14:paraId="2683D703" w14:textId="77777777" w:rsidR="009B645C" w:rsidRDefault="009B645C" w:rsidP="009B645C">
      <w:pPr>
        <w:pStyle w:val="Default"/>
        <w:rPr>
          <w:sz w:val="22"/>
          <w:szCs w:val="22"/>
        </w:rPr>
      </w:pPr>
      <w:r>
        <w:rPr>
          <w:sz w:val="22"/>
          <w:szCs w:val="22"/>
        </w:rPr>
        <w:t xml:space="preserve">realizacji przez Zamawiającego obowiązku wynikającego z art. 439 ust. 1 </w:t>
      </w:r>
      <w:proofErr w:type="spellStart"/>
      <w:r>
        <w:rPr>
          <w:sz w:val="22"/>
          <w:szCs w:val="22"/>
        </w:rPr>
        <w:t>Pzp</w:t>
      </w:r>
      <w:proofErr w:type="spellEnd"/>
      <w:r>
        <w:rPr>
          <w:sz w:val="22"/>
          <w:szCs w:val="22"/>
        </w:rPr>
        <w:t xml:space="preserve"> ustawy Prawo zamówień publicznych w treści obowiązującej po dniu 1 stycznia 2021 r. tj. w treści, którą stosuje się do przedmiotowego postępowania nakazują </w:t>
      </w:r>
      <w:r>
        <w:rPr>
          <w:i/>
          <w:iCs/>
          <w:sz w:val="22"/>
          <w:szCs w:val="22"/>
        </w:rPr>
        <w:t xml:space="preserve">Umowa, której przedmiotem są roboty budowlane lub usługi, zawarta na okres dłuższy niż 12 miesięcy, zawiera postanowienia dotyczące zasad wprowadzania zmian wysokości wynagrodzenia należnego wykonawcy, w przypadku zmiany ceny materiałów lub kosztów związanych z realizacją zamówienia </w:t>
      </w:r>
    </w:p>
    <w:p w14:paraId="1782E17C" w14:textId="08926C44" w:rsidR="00D104C0" w:rsidRDefault="009B645C" w:rsidP="009B645C">
      <w:r>
        <w:t xml:space="preserve">Zamawiający nie zawarł w projekcie umowy obligatoryjnych przesłanek zmiany wynagrodzenia Wykonawcy wymienionych w art. 439 ust. 1 ustawy </w:t>
      </w:r>
      <w:proofErr w:type="spellStart"/>
      <w:r>
        <w:t>Pzp</w:t>
      </w:r>
      <w:proofErr w:type="spellEnd"/>
      <w:r>
        <w:t xml:space="preserve"> , w związku z tym prosimy o uzupełnienie treści wzoru umowy w tym zakresie.</w:t>
      </w:r>
    </w:p>
    <w:p w14:paraId="74503382" w14:textId="43D4F504" w:rsidR="00A5347E" w:rsidRDefault="00A5347E" w:rsidP="009B645C"/>
    <w:p w14:paraId="71F3AFE9" w14:textId="77777777" w:rsidR="00AF597A" w:rsidRPr="00AF597A" w:rsidRDefault="00AF597A" w:rsidP="00AF597A">
      <w:pPr>
        <w:pStyle w:val="Default"/>
        <w:rPr>
          <w:color w:val="FF0000"/>
          <w:sz w:val="22"/>
          <w:szCs w:val="22"/>
        </w:rPr>
      </w:pPr>
      <w:r w:rsidRPr="00AF597A">
        <w:rPr>
          <w:color w:val="FF0000"/>
          <w:sz w:val="22"/>
          <w:szCs w:val="22"/>
        </w:rPr>
        <w:t>Zmodyfikowano wzór umowy</w:t>
      </w:r>
    </w:p>
    <w:p w14:paraId="5BC87EC8" w14:textId="38ECDD54" w:rsidR="00A5347E" w:rsidRPr="00A5347E" w:rsidRDefault="00A5347E" w:rsidP="00AF597A">
      <w:pPr>
        <w:rPr>
          <w:color w:val="FF0000"/>
        </w:rPr>
      </w:pPr>
    </w:p>
    <w:sectPr w:rsidR="00A5347E" w:rsidRPr="00A534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A634F0"/>
    <w:multiLevelType w:val="hybridMultilevel"/>
    <w:tmpl w:val="174624D8"/>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0E2"/>
    <w:rsid w:val="001010E2"/>
    <w:rsid w:val="007C2629"/>
    <w:rsid w:val="00964E37"/>
    <w:rsid w:val="009A56E1"/>
    <w:rsid w:val="009B645C"/>
    <w:rsid w:val="00A5347E"/>
    <w:rsid w:val="00AF597A"/>
    <w:rsid w:val="00B468C8"/>
    <w:rsid w:val="00C71AE6"/>
    <w:rsid w:val="00D104C0"/>
    <w:rsid w:val="00D44F16"/>
    <w:rsid w:val="00E47229"/>
    <w:rsid w:val="00F105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5A0DB"/>
  <w15:chartTrackingRefBased/>
  <w15:docId w15:val="{0E00C335-FD29-46D1-901B-7B85B1802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9B645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4</Pages>
  <Words>2065</Words>
  <Characters>12395</Characters>
  <Application>Microsoft Office Word</Application>
  <DocSecurity>0</DocSecurity>
  <Lines>103</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Janusz Skrzetuski</dc:creator>
  <cp:keywords/>
  <dc:description/>
  <cp:lastModifiedBy>Janusz Skrzetuski</cp:lastModifiedBy>
  <cp:revision>7</cp:revision>
  <dcterms:created xsi:type="dcterms:W3CDTF">2021-06-21T06:05:00Z</dcterms:created>
  <dcterms:modified xsi:type="dcterms:W3CDTF">2021-06-23T05:51:00Z</dcterms:modified>
</cp:coreProperties>
</file>