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AA38" w14:textId="77777777" w:rsidR="00451DC0" w:rsidRDefault="00451DC0" w:rsidP="003B0008">
      <w:pPr>
        <w:spacing w:after="200" w:line="276" w:lineRule="auto"/>
        <w:ind w:left="720" w:hanging="360"/>
      </w:pPr>
    </w:p>
    <w:p w14:paraId="0A5901F8" w14:textId="77777777" w:rsidR="00451DC0" w:rsidRPr="00451DC0" w:rsidRDefault="00451DC0" w:rsidP="00451DC0">
      <w:pPr>
        <w:spacing w:after="200" w:line="276" w:lineRule="auto"/>
        <w:ind w:left="720"/>
        <w:rPr>
          <w:rFonts w:cs="Arial"/>
          <w:b/>
          <w:sz w:val="28"/>
          <w:szCs w:val="28"/>
        </w:rPr>
      </w:pPr>
      <w:r w:rsidRPr="00451DC0">
        <w:rPr>
          <w:b/>
          <w:bCs/>
          <w:color w:val="000000"/>
          <w:sz w:val="28"/>
          <w:szCs w:val="28"/>
        </w:rPr>
        <w:t xml:space="preserve">Odpowiedzi na pytania dotyczące postępowania </w:t>
      </w:r>
      <w:r w:rsidRPr="00451DC0">
        <w:rPr>
          <w:rFonts w:cs="Arial"/>
          <w:b/>
          <w:sz w:val="28"/>
          <w:szCs w:val="28"/>
        </w:rPr>
        <w:t>ZP/SZP/01/2023</w:t>
      </w:r>
    </w:p>
    <w:p w14:paraId="34D99DB6" w14:textId="651C50EA" w:rsidR="00451DC0" w:rsidRPr="00451DC0" w:rsidRDefault="00451DC0" w:rsidP="00451DC0">
      <w:pPr>
        <w:spacing w:after="200" w:line="276" w:lineRule="auto"/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14:paraId="5A8AD8EA" w14:textId="489A67DE" w:rsidR="0007334D" w:rsidRPr="00451DC0" w:rsidRDefault="0007334D" w:rsidP="003B0008">
      <w:pPr>
        <w:numPr>
          <w:ilvl w:val="0"/>
          <w:numId w:val="3"/>
        </w:numPr>
        <w:spacing w:after="200" w:line="276" w:lineRule="auto"/>
        <w:rPr>
          <w:b/>
          <w:bCs/>
          <w:color w:val="000000"/>
        </w:rPr>
      </w:pPr>
      <w:r w:rsidRPr="00451DC0">
        <w:t xml:space="preserve">Czy </w:t>
      </w:r>
      <w:r w:rsidRPr="00451DC0">
        <w:rPr>
          <w:rFonts w:eastAsia="Times New Roman"/>
          <w:bCs/>
          <w:u w:val="single"/>
        </w:rPr>
        <w:t xml:space="preserve">w Pakiecie nr 1 poz. 18   </w:t>
      </w:r>
      <w:r w:rsidRPr="00451DC0">
        <w:t xml:space="preserve">Zamawiający dopuści zaoferowanie produktu </w:t>
      </w:r>
      <w:proofErr w:type="spellStart"/>
      <w:r w:rsidRPr="00451DC0">
        <w:t>EnteroDr</w:t>
      </w:r>
      <w:proofErr w:type="spellEnd"/>
      <w:r w:rsidRPr="00451DC0">
        <w:t xml:space="preserve">., również zawierającego w swoim składzie 250 mg żywych kultur </w:t>
      </w:r>
      <w:proofErr w:type="spellStart"/>
      <w:r w:rsidRPr="00451DC0">
        <w:t>probiotycznych</w:t>
      </w:r>
      <w:proofErr w:type="spellEnd"/>
      <w:r w:rsidRPr="00451DC0">
        <w:t xml:space="preserve"> drożdży </w:t>
      </w:r>
      <w:proofErr w:type="spellStart"/>
      <w:r w:rsidRPr="00451DC0">
        <w:rPr>
          <w:i/>
          <w:iCs/>
        </w:rPr>
        <w:t>Saccharomyces</w:t>
      </w:r>
      <w:proofErr w:type="spellEnd"/>
      <w:r w:rsidRPr="00451DC0">
        <w:rPr>
          <w:i/>
          <w:iCs/>
        </w:rPr>
        <w:t xml:space="preserve"> </w:t>
      </w:r>
      <w:proofErr w:type="spellStart"/>
      <w:r w:rsidRPr="00451DC0">
        <w:rPr>
          <w:i/>
          <w:iCs/>
        </w:rPr>
        <w:t>boulardii</w:t>
      </w:r>
      <w:proofErr w:type="spellEnd"/>
      <w:r w:rsidRPr="00451DC0">
        <w:t xml:space="preserve"> w kapsułce? Produkt konfekcjonowany w opakowaniach x 20 kapsułek (prosimy o możliwość przeliczenia na odpowiednią liczbę opakowań i zaokrąglenia uzyskanego wyniku w górę). Zawartość żywych kultur </w:t>
      </w:r>
      <w:proofErr w:type="spellStart"/>
      <w:r w:rsidRPr="00451DC0">
        <w:t>probiotycznych</w:t>
      </w:r>
      <w:proofErr w:type="spellEnd"/>
      <w:r w:rsidRPr="00451DC0">
        <w:t xml:space="preserve"> drożdży w oferowanym produkcie została potwierdzona w niezależnym badaniu wykonanym  w NIL. Produkt nie zawiera laktozy i może być podawany osobom z nietolerancją laktozy, zespołem złego wchłaniania glukozy-galaktozy i niedoborem laktazy.</w:t>
      </w:r>
      <w:r w:rsidR="00451DC0" w:rsidRPr="00451DC0">
        <w:br/>
      </w:r>
      <w:r w:rsidRPr="00451DC0">
        <w:rPr>
          <w:b/>
          <w:bCs/>
        </w:rPr>
        <w:t xml:space="preserve">odp. </w:t>
      </w:r>
      <w:r w:rsidR="00451DC0">
        <w:rPr>
          <w:b/>
          <w:bCs/>
        </w:rPr>
        <w:t>P</w:t>
      </w:r>
      <w:r w:rsidRPr="00451DC0">
        <w:rPr>
          <w:b/>
          <w:bCs/>
        </w:rPr>
        <w:t>rodukt nie jest zarejestrowany jako lek.</w:t>
      </w:r>
    </w:p>
    <w:p w14:paraId="5F2D5C50" w14:textId="77777777" w:rsidR="0007334D" w:rsidRPr="00451DC0" w:rsidRDefault="0007334D" w:rsidP="0007334D">
      <w:pPr>
        <w:numPr>
          <w:ilvl w:val="0"/>
          <w:numId w:val="3"/>
        </w:numPr>
        <w:spacing w:line="276" w:lineRule="auto"/>
        <w:ind w:left="714" w:hanging="357"/>
        <w:jc w:val="both"/>
        <w:rPr>
          <w:color w:val="000000"/>
        </w:rPr>
      </w:pPr>
      <w:bookmarkStart w:id="0" w:name="_Hlk17115868"/>
      <w:r w:rsidRPr="00451DC0">
        <w:rPr>
          <w:color w:val="000000"/>
        </w:rPr>
        <w:t xml:space="preserve">Zamawiający określa </w:t>
      </w:r>
      <w:r w:rsidRPr="00451DC0">
        <w:rPr>
          <w:rFonts w:eastAsia="Times New Roman"/>
          <w:bCs/>
          <w:u w:val="single"/>
        </w:rPr>
        <w:t xml:space="preserve">w Pakiecie nr 4 poz. 87 </w:t>
      </w:r>
      <w:r w:rsidRPr="00451DC0">
        <w:rPr>
          <w:color w:val="000000"/>
        </w:rPr>
        <w:t xml:space="preserve"> system do pomiaru stężenia glukozy we krwi podając nazwę własną </w:t>
      </w:r>
      <w:proofErr w:type="spellStart"/>
      <w:r w:rsidRPr="00451DC0">
        <w:rPr>
          <w:color w:val="000000"/>
        </w:rPr>
        <w:t>glukometru</w:t>
      </w:r>
      <w:proofErr w:type="spellEnd"/>
      <w:r w:rsidRPr="00451DC0">
        <w:rPr>
          <w:color w:val="000000"/>
        </w:rPr>
        <w:t xml:space="preserve"> będącą zastrzeżonym znakiem towarowym konkretnego producenta, co ogranicza konkurencję asortymentowo-cenową wyłącznie do pasków testowych tego samego producenta (ze względu na chronione prawem patentowym zabezpieczenia konstrukcyjne sprawiające, że z </w:t>
      </w:r>
      <w:proofErr w:type="spellStart"/>
      <w:r w:rsidRPr="00451DC0">
        <w:rPr>
          <w:color w:val="000000"/>
        </w:rPr>
        <w:t>glukometrem</w:t>
      </w:r>
      <w:proofErr w:type="spellEnd"/>
      <w:r w:rsidRPr="00451DC0">
        <w:rPr>
          <w:color w:val="000000"/>
        </w:rPr>
        <w:t xml:space="preserve"> danego producenta kompatybilne są wyłącznie paski tego samego wytwórcy) tym samym narażając Zamawiającego na wysoką cenę. Jeżeli Zamawiający dopuści inne systemy dostępne na rynku, miałby możliwość obniżenia kosztów w budżecie przeznaczonym na zakup systemów pomiaru glukozy.</w:t>
      </w:r>
      <w:bookmarkStart w:id="1" w:name="_Hlk528520804"/>
      <w:bookmarkStart w:id="2" w:name="_Hlk528523296"/>
      <w:r w:rsidRPr="00451DC0">
        <w:t xml:space="preserve"> W związku z  tym pytamy, czy Zamawiający, postępując zgodnie z przepisami ustawy </w:t>
      </w:r>
      <w:proofErr w:type="spellStart"/>
      <w:r w:rsidRPr="00451DC0">
        <w:t>Pzp</w:t>
      </w:r>
      <w:proofErr w:type="spellEnd"/>
      <w:r w:rsidRPr="00451DC0">
        <w:t xml:space="preserve"> (art. 99, ust. 4-6) dopuści zaoferowanie konkurencyjnych </w:t>
      </w:r>
      <w:r w:rsidRPr="00451DC0">
        <w:rPr>
          <w:color w:val="000000"/>
        </w:rPr>
        <w:t xml:space="preserve">pasków testowych innego producenta (wraz z przekazaniem nieodpłatnych kompatybilnych z nimi </w:t>
      </w:r>
      <w:proofErr w:type="spellStart"/>
      <w:r w:rsidRPr="00451DC0">
        <w:rPr>
          <w:color w:val="000000"/>
        </w:rPr>
        <w:t>glukometrów</w:t>
      </w:r>
      <w:proofErr w:type="spellEnd"/>
      <w:r w:rsidRPr="00451DC0">
        <w:rPr>
          <w:color w:val="000000"/>
        </w:rPr>
        <w:t xml:space="preserve">) charakteryzujące się parametrami: enzym oksydaza glukozy GOD, zakres pomiarowy 20-600mg/dl, hematokryt 10-70%, możliwość </w:t>
      </w:r>
      <w:proofErr w:type="spellStart"/>
      <w:r w:rsidRPr="00451DC0">
        <w:rPr>
          <w:color w:val="000000"/>
        </w:rPr>
        <w:t>stosownaia</w:t>
      </w:r>
      <w:proofErr w:type="spellEnd"/>
      <w:r w:rsidRPr="00451DC0">
        <w:rPr>
          <w:color w:val="000000"/>
        </w:rPr>
        <w:t xml:space="preserve"> u osób dorosłych i noworodków, czas pomiaru 5 sekund, wielkość próbki krwi 0,5ul, wyrzutnik zużytego paska testowego, przydatność do użycia 12 miesięcy po pierwszym otwarciu fiolki, parametry funkcjonalne zgodne z obowiązującą normą EN ISO 15197:2015?</w:t>
      </w:r>
    </w:p>
    <w:p w14:paraId="6A3B5BB3" w14:textId="34AAE519" w:rsidR="0007334D" w:rsidRPr="00451DC0" w:rsidRDefault="0007334D" w:rsidP="0007334D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451DC0">
        <w:t xml:space="preserve">Czy Zamawiający, postępując zgodnie z przepisami ustawy </w:t>
      </w:r>
      <w:proofErr w:type="spellStart"/>
      <w:r w:rsidRPr="00451DC0">
        <w:t>Pzp</w:t>
      </w:r>
      <w:proofErr w:type="spellEnd"/>
      <w:r w:rsidRPr="00451DC0">
        <w:t xml:space="preserve"> (art. 99, ust. 4-6) dopuści</w:t>
      </w:r>
      <w:r w:rsidRPr="00451DC0">
        <w:rPr>
          <w:rFonts w:eastAsia="Times New Roman"/>
          <w:bCs/>
          <w:u w:val="single"/>
        </w:rPr>
        <w:t xml:space="preserve"> w Pakiecie nr 4 poz. 87 </w:t>
      </w:r>
      <w:r w:rsidRPr="00451DC0">
        <w:rPr>
          <w:color w:val="000000"/>
        </w:rPr>
        <w:t xml:space="preserve"> </w:t>
      </w:r>
      <w:r w:rsidRPr="00451DC0">
        <w:t xml:space="preserve">zaoferowanie konkurencyjnych </w:t>
      </w:r>
      <w:r w:rsidRPr="00451DC0">
        <w:rPr>
          <w:color w:val="000000"/>
        </w:rPr>
        <w:t xml:space="preserve">pasków testowych innego producenta (wraz z przekazaniem nieodpłatnych, kompatybilnych z nimi </w:t>
      </w:r>
      <w:proofErr w:type="spellStart"/>
      <w:r w:rsidRPr="00451DC0">
        <w:rPr>
          <w:color w:val="000000"/>
        </w:rPr>
        <w:t>glukometrów</w:t>
      </w:r>
      <w:proofErr w:type="spellEnd"/>
      <w:r w:rsidRPr="00451DC0">
        <w:rPr>
          <w:color w:val="000000"/>
        </w:rPr>
        <w:t xml:space="preserve">) charakteryzujące się parametrami: enzym dehydrogenaza glukozy GDH-FAD, zakres pomiarowy 20-600 mg/dl, możliwość wykonywania pomiarów we krwi kapilarnej i żylnej, hematokryt 20-60%, czas pomiaru 5 sekund, wielkość próbki krwi 0,5ul, wyrzutnik zużytego paska testowego, parametry funkcjonalne zgodne z obowiązującą normą EN ISO </w:t>
      </w:r>
      <w:commentRangeStart w:id="3"/>
      <w:r w:rsidRPr="00451DC0">
        <w:rPr>
          <w:color w:val="000000"/>
        </w:rPr>
        <w:t>15197:2015</w:t>
      </w:r>
      <w:commentRangeEnd w:id="3"/>
      <w:r w:rsidRPr="00451DC0">
        <w:rPr>
          <w:rStyle w:val="Odwoaniedokomentarza"/>
          <w:sz w:val="22"/>
          <w:szCs w:val="22"/>
        </w:rPr>
        <w:commentReference w:id="3"/>
      </w:r>
      <w:r w:rsidRPr="00451DC0">
        <w:rPr>
          <w:color w:val="000000"/>
        </w:rPr>
        <w:t>?</w:t>
      </w:r>
    </w:p>
    <w:p w14:paraId="3F35A6FC" w14:textId="1C328AB2" w:rsidR="00E10ECA" w:rsidRPr="00451DC0" w:rsidRDefault="0007334D" w:rsidP="0007334D">
      <w:pPr>
        <w:spacing w:after="200" w:line="276" w:lineRule="auto"/>
        <w:ind w:left="720"/>
        <w:rPr>
          <w:b/>
          <w:bCs/>
        </w:rPr>
      </w:pPr>
      <w:r w:rsidRPr="00451DC0">
        <w:rPr>
          <w:b/>
          <w:bCs/>
        </w:rPr>
        <w:t>odp</w:t>
      </w:r>
      <w:r w:rsidR="00F16E24" w:rsidRPr="00451DC0">
        <w:rPr>
          <w:b/>
          <w:bCs/>
        </w:rPr>
        <w:t>. pytanie 2 i 3</w:t>
      </w:r>
      <w:r w:rsidRPr="00451DC0">
        <w:rPr>
          <w:b/>
          <w:bCs/>
        </w:rPr>
        <w:t xml:space="preserve">. </w:t>
      </w:r>
      <w:r w:rsidR="00E92FA8" w:rsidRPr="00451DC0">
        <w:rPr>
          <w:b/>
          <w:bCs/>
        </w:rPr>
        <w:t>U</w:t>
      </w:r>
      <w:r w:rsidRPr="00451DC0">
        <w:rPr>
          <w:b/>
          <w:bCs/>
        </w:rPr>
        <w:t xml:space="preserve">żyta w specyfikacji asortymentowo - cenowej nazwa </w:t>
      </w:r>
      <w:proofErr w:type="spellStart"/>
      <w:r w:rsidRPr="00451DC0">
        <w:rPr>
          <w:b/>
          <w:bCs/>
        </w:rPr>
        <w:t>glukometru</w:t>
      </w:r>
      <w:proofErr w:type="spellEnd"/>
      <w:r w:rsidRPr="00451DC0">
        <w:rPr>
          <w:b/>
          <w:bCs/>
        </w:rPr>
        <w:t xml:space="preserve"> wskutek błędu edycyjnego nie zawiera informacji </w:t>
      </w:r>
      <w:proofErr w:type="spellStart"/>
      <w:r w:rsidRPr="00451DC0">
        <w:rPr>
          <w:b/>
          <w:bCs/>
        </w:rPr>
        <w:t>nt</w:t>
      </w:r>
      <w:proofErr w:type="spellEnd"/>
      <w:r w:rsidRPr="00451DC0">
        <w:rPr>
          <w:b/>
          <w:bCs/>
        </w:rPr>
        <w:t xml:space="preserve"> dopuszczenia produktów równoważnych. </w:t>
      </w:r>
      <w:r w:rsidR="00E10ECA" w:rsidRPr="00451DC0">
        <w:rPr>
          <w:b/>
          <w:bCs/>
        </w:rPr>
        <w:br/>
      </w:r>
      <w:r w:rsidRPr="00451DC0">
        <w:rPr>
          <w:b/>
          <w:bCs/>
        </w:rPr>
        <w:t xml:space="preserve">Dopuszczamy opcję proponowaną </w:t>
      </w:r>
      <w:r w:rsidR="00E10ECA" w:rsidRPr="00451DC0">
        <w:rPr>
          <w:b/>
          <w:bCs/>
        </w:rPr>
        <w:t>w pytaniu</w:t>
      </w:r>
      <w:r w:rsidRPr="00451DC0">
        <w:rPr>
          <w:b/>
          <w:bCs/>
        </w:rPr>
        <w:t xml:space="preserve"> z zastrzeżeniem, że produkty będą się posiadał</w:t>
      </w:r>
      <w:r w:rsidR="00E10ECA" w:rsidRPr="00451DC0">
        <w:rPr>
          <w:b/>
          <w:bCs/>
        </w:rPr>
        <w:t>y</w:t>
      </w:r>
      <w:r w:rsidRPr="00451DC0">
        <w:rPr>
          <w:b/>
          <w:bCs/>
        </w:rPr>
        <w:t xml:space="preserve"> co najmniej takie parametry jak wskaza</w:t>
      </w:r>
      <w:r w:rsidR="00E10ECA" w:rsidRPr="00451DC0">
        <w:rPr>
          <w:b/>
          <w:bCs/>
        </w:rPr>
        <w:t>n</w:t>
      </w:r>
      <w:r w:rsidRPr="00451DC0">
        <w:rPr>
          <w:b/>
          <w:bCs/>
        </w:rPr>
        <w:t>e przykładowo w specyfikacji oraz, że będzie częścią składową pakietu wskazanego w specyfikacji asortymentowo - cenowej.</w:t>
      </w:r>
    </w:p>
    <w:p w14:paraId="608EF992" w14:textId="1780C37F" w:rsidR="00E10ECA" w:rsidRPr="00451DC0" w:rsidRDefault="00E10ECA" w:rsidP="00E10ECA">
      <w:pPr>
        <w:numPr>
          <w:ilvl w:val="0"/>
          <w:numId w:val="3"/>
        </w:numPr>
        <w:spacing w:line="276" w:lineRule="auto"/>
        <w:jc w:val="both"/>
      </w:pPr>
      <w:r w:rsidRPr="00451DC0">
        <w:lastRenderedPageBreak/>
        <w:t xml:space="preserve">Czy Zamawiający w pakiecie nr 2, pozycja nr 33, (Paracetamol </w:t>
      </w:r>
      <w:proofErr w:type="spellStart"/>
      <w:r w:rsidRPr="00451DC0">
        <w:t>inj</w:t>
      </w:r>
      <w:proofErr w:type="spellEnd"/>
      <w:r w:rsidRPr="00451DC0">
        <w:t>. 1g/100ml x 10 flak.), oczekuje zaoferowania  w/w preparatu w opakowaniu  wykonanego z polietylenu, które gwarantuje obniżenie kosztów utylizacji, wynikające z różnicy wagi opakowania szklanego (fiolka) w stosunku do opakowania wykonanego z polietylenu. Różnica ta wynosi ok. 65 gram na opakowaniu jednostkowym. W przypadku gdy Zamawiający określił liczbę preparatu Paracetamolu w 12 miesięcznym zapotrzebowaniu, różnica pozwoli na zmniejszenie ilości i ciężaru odpadów w zaplanowanym okresie, co przełoży się na obniżenie kosztów jakie ponosi Zamawiający na utylizację w/w asortymentu?.</w:t>
      </w:r>
    </w:p>
    <w:p w14:paraId="68093AF7" w14:textId="59FF836A" w:rsidR="00E10ECA" w:rsidRPr="00451DC0" w:rsidRDefault="00E10ECA" w:rsidP="00F16E24">
      <w:pPr>
        <w:spacing w:line="276" w:lineRule="auto"/>
        <w:jc w:val="both"/>
        <w:rPr>
          <w:rFonts w:ascii="Arial" w:hAnsi="Arial" w:cs="Arial"/>
        </w:rPr>
      </w:pPr>
      <w:r w:rsidRPr="00451DC0">
        <w:rPr>
          <w:b/>
          <w:bCs/>
        </w:rPr>
        <w:t xml:space="preserve">                odp. Tak , dopuszczamy</w:t>
      </w:r>
    </w:p>
    <w:p w14:paraId="2BF8795B" w14:textId="77777777" w:rsidR="00E10ECA" w:rsidRPr="00451DC0" w:rsidRDefault="00E10ECA" w:rsidP="00E10ECA">
      <w:pPr>
        <w:ind w:left="426"/>
        <w:rPr>
          <w:rFonts w:ascii="Arial" w:hAnsi="Arial" w:cs="Arial"/>
        </w:rPr>
      </w:pPr>
    </w:p>
    <w:p w14:paraId="76545100" w14:textId="058144AF" w:rsidR="00E10ECA" w:rsidRPr="00451DC0" w:rsidRDefault="00E10ECA" w:rsidP="00E10ECA">
      <w:pPr>
        <w:numPr>
          <w:ilvl w:val="0"/>
          <w:numId w:val="3"/>
        </w:numPr>
        <w:spacing w:line="276" w:lineRule="auto"/>
        <w:jc w:val="both"/>
      </w:pPr>
      <w:r w:rsidRPr="00451DC0">
        <w:t xml:space="preserve">Czy Zamawiający wyrazi zgodę na zaoferowanie w pakiecie nr 4 pozycja nr 29,( </w:t>
      </w:r>
      <w:proofErr w:type="spellStart"/>
      <w:r w:rsidRPr="00451DC0">
        <w:t>Amikacin</w:t>
      </w:r>
      <w:proofErr w:type="spellEnd"/>
      <w:r w:rsidRPr="00451DC0">
        <w:t xml:space="preserve"> </w:t>
      </w:r>
      <w:proofErr w:type="spellStart"/>
      <w:r w:rsidRPr="00451DC0">
        <w:t>inj</w:t>
      </w:r>
      <w:proofErr w:type="spellEnd"/>
      <w:r w:rsidRPr="00451DC0">
        <w:t xml:space="preserve">. 500mg/2ml x 1 </w:t>
      </w:r>
      <w:proofErr w:type="spellStart"/>
      <w:r w:rsidRPr="00451DC0">
        <w:t>amp</w:t>
      </w:r>
      <w:proofErr w:type="spellEnd"/>
      <w:r w:rsidRPr="00451DC0">
        <w:t xml:space="preserve">.) preparat równoważny pod   względem zastosowania klinicznego, gotowy roztwór do infuzji  </w:t>
      </w:r>
      <w:proofErr w:type="spellStart"/>
      <w:r w:rsidRPr="00451DC0">
        <w:t>Amikacin</w:t>
      </w:r>
      <w:proofErr w:type="spellEnd"/>
      <w:r w:rsidRPr="00451DC0">
        <w:t xml:space="preserve"> 5mg/ml a 100ml ( przygotowanie nie wymaga rozcieńczenia zawartości ampułki z lekiem) w opakowaniu typu  </w:t>
      </w:r>
      <w:proofErr w:type="spellStart"/>
      <w:r w:rsidRPr="00451DC0">
        <w:t>Ecoflac</w:t>
      </w:r>
      <w:proofErr w:type="spellEnd"/>
      <w:r w:rsidRPr="00451DC0">
        <w:t xml:space="preserve"> Plus ( butelka stojąca z dwoma równymi sterylnymi portami) zgodnie z zaleceniami i wymogami prowadzenia bezpiecznej farmakoterapii i– Rezolucja Rady Europy CM/</w:t>
      </w:r>
      <w:proofErr w:type="spellStart"/>
      <w:r w:rsidRPr="00451DC0">
        <w:t>ResAP</w:t>
      </w:r>
      <w:proofErr w:type="spellEnd"/>
      <w:r w:rsidRPr="00451DC0">
        <w:t>(2011/2017)1, oraz prawem farmaceutycznym (każde rozcieńczenie leku jest usługą farmaceutyczną, która podlega według ustawy, kontroli wykonania przez farmaceutę, stosowanie leków w formie gotowej do użycia – RTU, nie wymaga nadzoru opieki  farmaceutycznej),  w przeliczeniu na wymaganą ilość sztuk w zamówieniu?.</w:t>
      </w:r>
    </w:p>
    <w:p w14:paraId="4B349164" w14:textId="3A614E8D" w:rsidR="00E10ECA" w:rsidRPr="00451DC0" w:rsidRDefault="00E10ECA" w:rsidP="00F16E24">
      <w:pPr>
        <w:pStyle w:val="Akapitzlist"/>
        <w:spacing w:line="276" w:lineRule="auto"/>
        <w:jc w:val="both"/>
      </w:pPr>
      <w:r w:rsidRPr="00451DC0">
        <w:rPr>
          <w:b/>
          <w:bCs/>
        </w:rPr>
        <w:t>odp. Tak , dopuszczamy</w:t>
      </w:r>
    </w:p>
    <w:p w14:paraId="1F867BF3" w14:textId="49897CCB" w:rsidR="00E10ECA" w:rsidRPr="00451DC0" w:rsidRDefault="00E10ECA" w:rsidP="00E10ECA">
      <w:pPr>
        <w:spacing w:line="276" w:lineRule="auto"/>
        <w:ind w:left="720"/>
        <w:jc w:val="both"/>
      </w:pPr>
    </w:p>
    <w:p w14:paraId="054DEC87" w14:textId="024A50CF" w:rsidR="00E10ECA" w:rsidRPr="00451DC0" w:rsidRDefault="00E10ECA" w:rsidP="00E10ECA">
      <w:pPr>
        <w:numPr>
          <w:ilvl w:val="0"/>
          <w:numId w:val="3"/>
        </w:numPr>
        <w:spacing w:line="276" w:lineRule="auto"/>
        <w:jc w:val="both"/>
      </w:pPr>
      <w:r w:rsidRPr="00451DC0">
        <w:t>Proszę, o doprecyzowanie czy należy zaoferować pakiecie nr 4 pozycja nr 29 (</w:t>
      </w:r>
      <w:proofErr w:type="spellStart"/>
      <w:r w:rsidRPr="00451DC0">
        <w:t>Amikacin</w:t>
      </w:r>
      <w:proofErr w:type="spellEnd"/>
      <w:r w:rsidRPr="00451DC0">
        <w:t xml:space="preserve">),  preparat, który nie zawiera w swoim składzie  wodorosiarczynu sodu lub </w:t>
      </w:r>
      <w:proofErr w:type="spellStart"/>
      <w:r w:rsidRPr="00451DC0">
        <w:t>pirosiarczynu</w:t>
      </w:r>
      <w:proofErr w:type="spellEnd"/>
      <w:r w:rsidRPr="00451DC0">
        <w:t xml:space="preserve"> sodu, gdyż w/w substancje są znanymi konserwantami i przeciwutleniaczami i stosowanie w/w substancji może generować reakcje alergiczne u pacjentów dorosłych a w szczególności u dzieci ?.</w:t>
      </w:r>
    </w:p>
    <w:p w14:paraId="52A730AA" w14:textId="067A75A3" w:rsidR="00E10ECA" w:rsidRPr="00451DC0" w:rsidRDefault="00E10ECA" w:rsidP="00E10ECA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 xml:space="preserve">odp. Tak , </w:t>
      </w:r>
      <w:commentRangeStart w:id="4"/>
      <w:r w:rsidRPr="00451DC0">
        <w:rPr>
          <w:b/>
          <w:bCs/>
        </w:rPr>
        <w:t>dopuszczamy</w:t>
      </w:r>
      <w:commentRangeEnd w:id="4"/>
      <w:r w:rsidR="0046257D" w:rsidRPr="00451DC0">
        <w:rPr>
          <w:rStyle w:val="Odwoaniedokomentarza"/>
          <w:sz w:val="22"/>
          <w:szCs w:val="22"/>
        </w:rPr>
        <w:commentReference w:id="4"/>
      </w:r>
    </w:p>
    <w:p w14:paraId="22FF9F5F" w14:textId="5543A7C5" w:rsidR="00E92FA8" w:rsidRPr="00451DC0" w:rsidRDefault="00E92FA8" w:rsidP="00E10ECA">
      <w:pPr>
        <w:pStyle w:val="Akapitzlist"/>
        <w:spacing w:line="276" w:lineRule="auto"/>
        <w:jc w:val="both"/>
        <w:rPr>
          <w:b/>
          <w:bCs/>
        </w:rPr>
      </w:pPr>
    </w:p>
    <w:p w14:paraId="41DE7FA0" w14:textId="77777777" w:rsidR="00E92FA8" w:rsidRPr="00451DC0" w:rsidRDefault="00E92FA8" w:rsidP="00E92FA8">
      <w:pPr>
        <w:numPr>
          <w:ilvl w:val="0"/>
          <w:numId w:val="3"/>
        </w:numPr>
        <w:spacing w:line="276" w:lineRule="auto"/>
        <w:jc w:val="both"/>
      </w:pPr>
      <w:r w:rsidRPr="00451DC0">
        <w:t xml:space="preserve">Pakiet 2 </w:t>
      </w:r>
    </w:p>
    <w:p w14:paraId="0FD2F039" w14:textId="59CB156D" w:rsidR="00E92FA8" w:rsidRPr="00451DC0" w:rsidRDefault="00E92FA8" w:rsidP="00E92FA8">
      <w:pPr>
        <w:spacing w:line="276" w:lineRule="auto"/>
        <w:ind w:left="720"/>
        <w:jc w:val="both"/>
      </w:pPr>
      <w:r w:rsidRPr="00451DC0">
        <w:t>Czy Zamawiający dopuści produkt Paracetamol 100 ml w opakowaniu typu fiolka?</w:t>
      </w:r>
    </w:p>
    <w:p w14:paraId="345D5645" w14:textId="77777777" w:rsidR="009E7A8E" w:rsidRPr="00451DC0" w:rsidRDefault="009E7A8E" w:rsidP="009E7A8E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Tak , dopuszczamy</w:t>
      </w:r>
    </w:p>
    <w:p w14:paraId="5F01D06F" w14:textId="77777777" w:rsidR="00E92FA8" w:rsidRPr="00451DC0" w:rsidRDefault="00E92FA8" w:rsidP="00E92FA8">
      <w:pPr>
        <w:spacing w:line="276" w:lineRule="auto"/>
        <w:ind w:left="720"/>
        <w:jc w:val="both"/>
      </w:pPr>
    </w:p>
    <w:p w14:paraId="2A567F0B" w14:textId="77777777" w:rsidR="00E92FA8" w:rsidRPr="00451DC0" w:rsidRDefault="00E92FA8" w:rsidP="00E92FA8">
      <w:pPr>
        <w:numPr>
          <w:ilvl w:val="0"/>
          <w:numId w:val="3"/>
        </w:numPr>
        <w:spacing w:line="276" w:lineRule="auto"/>
        <w:jc w:val="both"/>
      </w:pPr>
      <w:r w:rsidRPr="00451DC0">
        <w:t xml:space="preserve">Pakiet 2 </w:t>
      </w:r>
    </w:p>
    <w:p w14:paraId="535495A6" w14:textId="63A62A5C" w:rsidR="00E92FA8" w:rsidRPr="00451DC0" w:rsidRDefault="00E92FA8" w:rsidP="00E92FA8">
      <w:pPr>
        <w:spacing w:line="276" w:lineRule="auto"/>
        <w:ind w:left="720"/>
        <w:jc w:val="both"/>
      </w:pPr>
      <w:r w:rsidRPr="00451DC0">
        <w:t xml:space="preserve">Czy Zamawiający w pakiecie 2 wymaga leku CIPROFLOXACIN 200mg/100ml w opakowaniu z dwoma  jałowymi portami różnej wielkości? </w:t>
      </w:r>
    </w:p>
    <w:p w14:paraId="10CDCB20" w14:textId="77777777" w:rsidR="009E7A8E" w:rsidRPr="00451DC0" w:rsidRDefault="009E7A8E" w:rsidP="009E7A8E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Tak , dopuszczamy</w:t>
      </w:r>
    </w:p>
    <w:p w14:paraId="78B3E4CF" w14:textId="77777777" w:rsidR="00E92FA8" w:rsidRPr="00451DC0" w:rsidRDefault="00E92FA8" w:rsidP="00E92FA8">
      <w:pPr>
        <w:spacing w:line="276" w:lineRule="auto"/>
        <w:ind w:left="720"/>
        <w:jc w:val="both"/>
      </w:pPr>
    </w:p>
    <w:p w14:paraId="6EFDD42C" w14:textId="77777777" w:rsidR="00E92FA8" w:rsidRPr="00451DC0" w:rsidRDefault="00E92FA8" w:rsidP="00E92FA8">
      <w:pPr>
        <w:numPr>
          <w:ilvl w:val="0"/>
          <w:numId w:val="3"/>
        </w:numPr>
        <w:spacing w:line="276" w:lineRule="auto"/>
        <w:jc w:val="both"/>
      </w:pPr>
      <w:r w:rsidRPr="00451DC0">
        <w:t xml:space="preserve">Pakiet 2 </w:t>
      </w:r>
    </w:p>
    <w:p w14:paraId="1AC19825" w14:textId="77777777" w:rsidR="00E92FA8" w:rsidRPr="00451DC0" w:rsidRDefault="00E92FA8" w:rsidP="00E92FA8">
      <w:pPr>
        <w:spacing w:line="276" w:lineRule="auto"/>
        <w:ind w:left="720"/>
        <w:jc w:val="both"/>
      </w:pPr>
      <w:r w:rsidRPr="00451DC0">
        <w:t>Czy Zamawiający w pakiecie 2 wymaga leku METRONIDAZOLE 0,5%/100ml w opakowaniu z dwoma  jałowymi portami różnej wielkości? Jałowość portów potwierdzona zapisem w CHPL.</w:t>
      </w:r>
    </w:p>
    <w:p w14:paraId="1E070523" w14:textId="668F8B82" w:rsidR="009E7A8E" w:rsidRDefault="009E7A8E" w:rsidP="009E7A8E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Tak , dopuszczamy</w:t>
      </w:r>
    </w:p>
    <w:p w14:paraId="2BE7EE97" w14:textId="7BB8F410" w:rsidR="00451DC0" w:rsidRDefault="00451DC0" w:rsidP="009E7A8E">
      <w:pPr>
        <w:pStyle w:val="Akapitzlist"/>
        <w:spacing w:line="276" w:lineRule="auto"/>
        <w:jc w:val="both"/>
        <w:rPr>
          <w:b/>
          <w:bCs/>
        </w:rPr>
      </w:pPr>
    </w:p>
    <w:p w14:paraId="01780885" w14:textId="77777777" w:rsidR="00451DC0" w:rsidRPr="00451DC0" w:rsidRDefault="00451DC0" w:rsidP="009E7A8E">
      <w:pPr>
        <w:pStyle w:val="Akapitzlist"/>
        <w:spacing w:line="276" w:lineRule="auto"/>
        <w:jc w:val="both"/>
        <w:rPr>
          <w:b/>
          <w:bCs/>
        </w:rPr>
      </w:pPr>
    </w:p>
    <w:p w14:paraId="0FF6762C" w14:textId="77777777" w:rsidR="00E92FA8" w:rsidRPr="00451DC0" w:rsidRDefault="00E92FA8" w:rsidP="00E92FA8">
      <w:pPr>
        <w:spacing w:line="276" w:lineRule="auto"/>
        <w:ind w:left="720"/>
        <w:jc w:val="both"/>
      </w:pPr>
    </w:p>
    <w:p w14:paraId="7D202855" w14:textId="77777777" w:rsidR="00E92FA8" w:rsidRPr="00451DC0" w:rsidRDefault="00E92FA8" w:rsidP="00E92FA8">
      <w:pPr>
        <w:numPr>
          <w:ilvl w:val="0"/>
          <w:numId w:val="3"/>
        </w:numPr>
        <w:spacing w:line="276" w:lineRule="auto"/>
        <w:jc w:val="both"/>
      </w:pPr>
      <w:r w:rsidRPr="00451DC0">
        <w:lastRenderedPageBreak/>
        <w:t>Pakiet 4</w:t>
      </w:r>
    </w:p>
    <w:p w14:paraId="55B8477A" w14:textId="1B73558A" w:rsidR="00E92FA8" w:rsidRPr="00451DC0" w:rsidRDefault="00E92FA8" w:rsidP="00E92FA8">
      <w:pPr>
        <w:spacing w:line="276" w:lineRule="auto"/>
        <w:ind w:left="720"/>
        <w:jc w:val="both"/>
      </w:pPr>
      <w:r w:rsidRPr="00451DC0">
        <w:t xml:space="preserve">Czy Zamawiający wyrazi zgodę na zaoferowanie produktu </w:t>
      </w:r>
      <w:proofErr w:type="spellStart"/>
      <w:r w:rsidRPr="00451DC0">
        <w:t>Amikacyna</w:t>
      </w:r>
      <w:proofErr w:type="spellEnd"/>
      <w:r w:rsidRPr="00451DC0">
        <w:t xml:space="preserve"> - równoważnego pod względem zastosowania klinicznego w postaci gotowego roztworu do infuzji 100 ml pakowanego(RTU) w opakowaniu stojącym z różnej wielkości jałowymi portami, zgodnego z zaleceniami i wymogami prowadzenia bezpiecznej farmakoterapii zawartymi w Rezolucji Rady Europy CM/</w:t>
      </w:r>
      <w:proofErr w:type="spellStart"/>
      <w:r w:rsidRPr="00451DC0">
        <w:t>ResAP</w:t>
      </w:r>
      <w:proofErr w:type="spellEnd"/>
      <w:r w:rsidRPr="00451DC0">
        <w:t xml:space="preserve">(2011)1, w opakowaniu zbiorczym 10 sztuk wraz z przeliczeniem wymaganej ilości </w:t>
      </w:r>
      <w:commentRangeStart w:id="5"/>
      <w:r w:rsidRPr="00451DC0">
        <w:t>sztuk w zamówieniu?</w:t>
      </w:r>
      <w:commentRangeEnd w:id="5"/>
      <w:r w:rsidR="009E7A8E" w:rsidRPr="00451DC0">
        <w:rPr>
          <w:rStyle w:val="Odwoaniedokomentarza"/>
          <w:sz w:val="22"/>
          <w:szCs w:val="22"/>
        </w:rPr>
        <w:commentReference w:id="5"/>
      </w:r>
    </w:p>
    <w:p w14:paraId="0AD656E1" w14:textId="1EEF234C" w:rsidR="009E7A8E" w:rsidRPr="00451DC0" w:rsidRDefault="009E7A8E" w:rsidP="009E7A8E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Tak , dopuszczamy</w:t>
      </w:r>
    </w:p>
    <w:p w14:paraId="5729E307" w14:textId="7CF75F84" w:rsidR="006B1913" w:rsidRPr="00451DC0" w:rsidRDefault="006B1913" w:rsidP="009E7A8E">
      <w:pPr>
        <w:pStyle w:val="Akapitzlist"/>
        <w:spacing w:line="276" w:lineRule="auto"/>
        <w:jc w:val="both"/>
        <w:rPr>
          <w:b/>
          <w:bCs/>
        </w:rPr>
      </w:pPr>
    </w:p>
    <w:p w14:paraId="2C0A1006" w14:textId="331648DC" w:rsidR="006B1913" w:rsidRPr="00451DC0" w:rsidRDefault="006B1913" w:rsidP="006B1913">
      <w:pPr>
        <w:numPr>
          <w:ilvl w:val="0"/>
          <w:numId w:val="3"/>
        </w:numPr>
        <w:spacing w:line="276" w:lineRule="auto"/>
        <w:jc w:val="both"/>
      </w:pPr>
      <w:r w:rsidRPr="00451DC0">
        <w:t xml:space="preserve">Czy Zamawiający dopuści zaoferowanie glukozy 75 g 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14:paraId="6CE0E630" w14:textId="4C88B6EB" w:rsidR="006B1913" w:rsidRPr="00451DC0" w:rsidRDefault="006B1913" w:rsidP="006B1913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Wymagamy, by produkt był zarejestrowany jako lek.</w:t>
      </w:r>
    </w:p>
    <w:p w14:paraId="78F5E66D" w14:textId="77777777" w:rsidR="006B1913" w:rsidRPr="00451DC0" w:rsidRDefault="006B1913" w:rsidP="006B1913">
      <w:pPr>
        <w:spacing w:line="276" w:lineRule="auto"/>
        <w:jc w:val="both"/>
      </w:pPr>
    </w:p>
    <w:p w14:paraId="19157280" w14:textId="60F60904" w:rsidR="006B1913" w:rsidRPr="00451DC0" w:rsidRDefault="006B1913" w:rsidP="006B1913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51DC0"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6A99EA05" w14:textId="499670C8" w:rsidR="006B1913" w:rsidRPr="00451DC0" w:rsidRDefault="006B1913" w:rsidP="006B1913">
      <w:pPr>
        <w:pStyle w:val="Akapitzlist"/>
        <w:spacing w:line="276" w:lineRule="auto"/>
        <w:jc w:val="both"/>
        <w:rPr>
          <w:b/>
          <w:bCs/>
        </w:rPr>
      </w:pPr>
      <w:r w:rsidRPr="00451DC0">
        <w:rPr>
          <w:b/>
          <w:bCs/>
        </w:rPr>
        <w:t>odp. Wymagamy, by produkt był zarejestrowany jako lek.</w:t>
      </w:r>
    </w:p>
    <w:p w14:paraId="2B717F80" w14:textId="77777777" w:rsidR="00451DC0" w:rsidRPr="006B1913" w:rsidRDefault="00451DC0" w:rsidP="006B1913">
      <w:pPr>
        <w:pStyle w:val="Akapitzlist"/>
        <w:spacing w:line="276" w:lineRule="auto"/>
        <w:jc w:val="both"/>
        <w:rPr>
          <w:b/>
          <w:bCs/>
          <w:sz w:val="20"/>
          <w:szCs w:val="20"/>
        </w:rPr>
      </w:pPr>
    </w:p>
    <w:p w14:paraId="0BF7F814" w14:textId="77777777" w:rsidR="00451DC0" w:rsidRDefault="00451DC0" w:rsidP="00E91D02">
      <w:pPr>
        <w:suppressAutoHyphens/>
        <w:ind w:left="644"/>
        <w:jc w:val="both"/>
        <w:rPr>
          <w:rFonts w:asciiTheme="minorHAnsi" w:hAnsiTheme="minorHAnsi" w:cstheme="minorHAnsi"/>
          <w:b/>
          <w:bCs/>
        </w:rPr>
      </w:pPr>
    </w:p>
    <w:p w14:paraId="425240DF" w14:textId="77777777" w:rsidR="00451DC0" w:rsidRDefault="00451DC0" w:rsidP="00E91D02">
      <w:pPr>
        <w:suppressAutoHyphens/>
        <w:ind w:left="644"/>
        <w:jc w:val="both"/>
        <w:rPr>
          <w:rFonts w:asciiTheme="minorHAnsi" w:hAnsiTheme="minorHAnsi" w:cstheme="minorHAnsi"/>
          <w:b/>
          <w:bCs/>
        </w:rPr>
      </w:pPr>
    </w:p>
    <w:p w14:paraId="6372C1AD" w14:textId="77777777" w:rsidR="00451DC0" w:rsidRDefault="00451DC0" w:rsidP="00E91D02">
      <w:pPr>
        <w:suppressAutoHyphens/>
        <w:ind w:left="644"/>
        <w:jc w:val="both"/>
        <w:rPr>
          <w:rFonts w:asciiTheme="minorHAnsi" w:hAnsiTheme="minorHAnsi" w:cstheme="minorHAnsi"/>
          <w:b/>
          <w:bCs/>
        </w:rPr>
      </w:pPr>
    </w:p>
    <w:p w14:paraId="6DD41DA8" w14:textId="688F7B1C" w:rsidR="00E91D02" w:rsidRPr="00451DC0" w:rsidRDefault="00E91D02" w:rsidP="00E91D02">
      <w:pPr>
        <w:suppressAutoHyphens/>
        <w:ind w:left="64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51DC0">
        <w:rPr>
          <w:rFonts w:asciiTheme="minorHAnsi" w:hAnsiTheme="minorHAnsi" w:cstheme="minorHAnsi"/>
          <w:b/>
          <w:bCs/>
          <w:sz w:val="28"/>
          <w:szCs w:val="28"/>
        </w:rPr>
        <w:t>Pytania do</w:t>
      </w:r>
      <w:r w:rsidR="00451DC0" w:rsidRPr="00451DC0">
        <w:rPr>
          <w:rFonts w:asciiTheme="minorHAnsi" w:hAnsiTheme="minorHAnsi" w:cstheme="minorHAnsi"/>
          <w:b/>
          <w:bCs/>
          <w:sz w:val="28"/>
          <w:szCs w:val="28"/>
        </w:rPr>
        <w:t>tyczące</w:t>
      </w:r>
      <w:r w:rsidRPr="00451DC0">
        <w:rPr>
          <w:rFonts w:asciiTheme="minorHAnsi" w:hAnsiTheme="minorHAnsi" w:cstheme="minorHAnsi"/>
          <w:b/>
          <w:bCs/>
          <w:sz w:val="28"/>
          <w:szCs w:val="28"/>
        </w:rPr>
        <w:t xml:space="preserve"> wzoru umowy</w:t>
      </w:r>
    </w:p>
    <w:p w14:paraId="5C0C39F6" w14:textId="77777777" w:rsidR="00451DC0" w:rsidRPr="00E91D02" w:rsidRDefault="00451DC0" w:rsidP="00E91D02">
      <w:pPr>
        <w:suppressAutoHyphens/>
        <w:ind w:left="644"/>
        <w:jc w:val="both"/>
        <w:rPr>
          <w:rFonts w:asciiTheme="minorHAnsi" w:hAnsiTheme="minorHAnsi" w:cstheme="minorHAnsi"/>
        </w:rPr>
      </w:pPr>
    </w:p>
    <w:p w14:paraId="1F55076B" w14:textId="7D82B51B" w:rsidR="00E91D02" w:rsidRPr="00E91D02" w:rsidRDefault="00E91D02" w:rsidP="00E91D02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1D02">
        <w:rPr>
          <w:rFonts w:asciiTheme="minorHAnsi" w:eastAsia="Times New Roman" w:hAnsiTheme="minorHAnsi" w:cstheme="minorHAnsi"/>
          <w:color w:val="000000"/>
        </w:rPr>
        <w:t>Do §1 ust. 6 wzoru umowy: Prosimy o dodanie słów zgodnych z art. 552 k.c.:  "...z wyłączeniem powołania się przez Wykonawcę na okoliczności, które zgodnie z przepisami prawa powszechnie obowiązującego uprawniają Sprzedającego do odmowy dostarczenia towaru Kupującemu.".</w:t>
      </w:r>
    </w:p>
    <w:p w14:paraId="2A05832E" w14:textId="12BD363A" w:rsidR="00E91D02" w:rsidRPr="00E91D02" w:rsidRDefault="00E91D02" w:rsidP="00E91D02">
      <w:pPr>
        <w:suppressAutoHyphens/>
        <w:ind w:left="720"/>
        <w:jc w:val="both"/>
        <w:rPr>
          <w:rFonts w:asciiTheme="minorHAnsi" w:hAnsiTheme="minorHAnsi" w:cstheme="minorHAnsi"/>
          <w:b/>
          <w:bCs/>
        </w:rPr>
      </w:pPr>
      <w:r w:rsidRPr="00E91D02">
        <w:rPr>
          <w:rFonts w:asciiTheme="minorHAnsi" w:eastAsia="Times New Roman" w:hAnsiTheme="minorHAnsi" w:cstheme="minorHAnsi"/>
          <w:b/>
          <w:bCs/>
        </w:rPr>
        <w:t>odp.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Przepis ten jest przepisem </w:t>
      </w:r>
      <w:r w:rsidRPr="00E91D02">
        <w:rPr>
          <w:rFonts w:asciiTheme="minorHAnsi" w:eastAsia="Times New Roman" w:hAnsiTheme="minorHAnsi" w:cstheme="minorHAnsi"/>
          <w:b/>
          <w:bCs/>
        </w:rPr>
        <w:t>bezwzględnie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 </w:t>
      </w:r>
      <w:r w:rsidRPr="00E91D02">
        <w:rPr>
          <w:rFonts w:asciiTheme="minorHAnsi" w:eastAsia="Times New Roman" w:hAnsiTheme="minorHAnsi" w:cstheme="minorHAnsi"/>
          <w:b/>
          <w:bCs/>
        </w:rPr>
        <w:t>obowiązującym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 i nie ma potrzeby przenoszenia jego </w:t>
      </w:r>
      <w:r w:rsidRPr="00E91D02">
        <w:rPr>
          <w:rFonts w:asciiTheme="minorHAnsi" w:eastAsia="Times New Roman" w:hAnsiTheme="minorHAnsi" w:cstheme="minorHAnsi"/>
          <w:b/>
          <w:bCs/>
        </w:rPr>
        <w:t>postanowień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 do treści umowy.</w:t>
      </w:r>
    </w:p>
    <w:p w14:paraId="308642AB" w14:textId="77777777" w:rsidR="00E91D02" w:rsidRPr="00E91D02" w:rsidRDefault="00E91D02" w:rsidP="00E91D02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9B8747C" w14:textId="2DB5EB49" w:rsidR="00E91D02" w:rsidRPr="00E91D02" w:rsidRDefault="00E91D02" w:rsidP="00E91D02">
      <w:pPr>
        <w:pStyle w:val="Akapitzlist"/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t>Do treści §2 ust. 4 wzoru umowy</w:t>
      </w:r>
      <w:r w:rsidRPr="00E91D02">
        <w:rPr>
          <w:rFonts w:asciiTheme="minorHAnsi" w:eastAsia="Times New Roman" w:hAnsiTheme="minorHAnsi" w:cstheme="minorHAnsi"/>
          <w:color w:val="000000"/>
        </w:rPr>
        <w:t>:</w:t>
      </w:r>
      <w:r w:rsidRPr="00E91D02">
        <w:rPr>
          <w:rFonts w:asciiTheme="minorHAnsi" w:eastAsia="Times New Roman" w:hAnsiTheme="minorHAnsi" w:cstheme="minorHAnsi"/>
        </w:rPr>
        <w:t xml:space="preserve"> Prosimy o rezygnację z wymogu dołączania zamówienia do każdej faktury, gdyż dane określające ilość i rodzaj zamawianego asortymentu określa sama faktura.</w:t>
      </w:r>
    </w:p>
    <w:p w14:paraId="24599523" w14:textId="7EFA638B" w:rsidR="00E91D02" w:rsidRPr="00E91D02" w:rsidRDefault="00E91D02" w:rsidP="00E91D02">
      <w:pPr>
        <w:ind w:left="720"/>
        <w:rPr>
          <w:rFonts w:asciiTheme="minorHAnsi" w:hAnsiTheme="minorHAnsi" w:cstheme="minorHAnsi"/>
          <w:b/>
          <w:bCs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 w:rsidRPr="00E91D02">
        <w:rPr>
          <w:rFonts w:asciiTheme="minorHAnsi" w:eastAsia="Times New Roman" w:hAnsiTheme="minorHAnsi" w:cstheme="minorHAnsi"/>
          <w:b/>
          <w:bCs/>
        </w:rPr>
        <w:t>Jeżeli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 będzie dołączana specyfikacja dostawy do faktury, to </w:t>
      </w:r>
      <w:r w:rsidRPr="00E91D02">
        <w:rPr>
          <w:rFonts w:asciiTheme="minorHAnsi" w:eastAsia="Times New Roman" w:hAnsiTheme="minorHAnsi" w:cstheme="minorHAnsi"/>
          <w:b/>
          <w:bCs/>
        </w:rPr>
        <w:t>możemy</w:t>
      </w:r>
      <w:r w:rsidRPr="00E91D02">
        <w:rPr>
          <w:rFonts w:asciiTheme="minorHAnsi" w:eastAsia="Times New Roman" w:hAnsiTheme="minorHAnsi" w:cstheme="minorHAnsi"/>
          <w:b/>
          <w:bCs/>
        </w:rPr>
        <w:t xml:space="preserve"> odstąpić od tego wymogu.</w:t>
      </w:r>
    </w:p>
    <w:p w14:paraId="1BBB1C42" w14:textId="77777777" w:rsidR="00E91D02" w:rsidRPr="00E91D02" w:rsidRDefault="00E91D02" w:rsidP="00E91D02">
      <w:pPr>
        <w:rPr>
          <w:rFonts w:asciiTheme="minorHAnsi" w:eastAsia="Times New Roman" w:hAnsiTheme="minorHAnsi" w:cstheme="minorHAnsi"/>
          <w:color w:val="C9211E"/>
        </w:rPr>
      </w:pPr>
    </w:p>
    <w:p w14:paraId="7437E0D2" w14:textId="5B798F55" w:rsidR="00E91D02" w:rsidRPr="00E91D02" w:rsidRDefault="00E91D02" w:rsidP="00E91D02">
      <w:pPr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t>Do treści §4 ust. 1 wzoru umowy</w:t>
      </w:r>
      <w:r w:rsidRPr="00E91D02">
        <w:rPr>
          <w:rFonts w:asciiTheme="minorHAnsi" w:eastAsia="Times New Roman" w:hAnsiTheme="minorHAnsi" w:cstheme="minorHAnsi"/>
          <w:color w:val="000000"/>
        </w:rPr>
        <w:t>:</w:t>
      </w:r>
      <w:r w:rsidRPr="00E91D02">
        <w:rPr>
          <w:rFonts w:asciiTheme="minorHAnsi" w:eastAsia="Times New Roman" w:hAnsiTheme="minorHAnsi" w:cstheme="minorHAnsi"/>
        </w:rPr>
        <w:t xml:space="preserve"> Czy Zamawiający wyrazi zgodę na naliczanie ewentualnej kary umownej za odstąpienie od umowy w wysokości 10% wartości brutto niezrealizowanej części umowy? </w:t>
      </w:r>
    </w:p>
    <w:p w14:paraId="617C9BEC" w14:textId="195302B7" w:rsidR="00E91D02" w:rsidRPr="00E91D02" w:rsidRDefault="00E91D02" w:rsidP="00E91D02">
      <w:pPr>
        <w:pStyle w:val="Akapitzlist"/>
        <w:ind w:left="644"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Nie wyrażamy zgody.</w:t>
      </w:r>
    </w:p>
    <w:p w14:paraId="1EB8D81E" w14:textId="77777777" w:rsidR="00E91D02" w:rsidRPr="00E91D02" w:rsidRDefault="00E91D02" w:rsidP="00E91D02">
      <w:pPr>
        <w:rPr>
          <w:rFonts w:asciiTheme="minorHAnsi" w:eastAsia="Times New Roman" w:hAnsiTheme="minorHAnsi" w:cstheme="minorHAnsi"/>
        </w:rPr>
      </w:pPr>
    </w:p>
    <w:p w14:paraId="3447CC3E" w14:textId="5C2CBB46" w:rsidR="00E91D02" w:rsidRPr="00E91D02" w:rsidRDefault="00E91D02" w:rsidP="00E91D02">
      <w:pPr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lastRenderedPageBreak/>
        <w:t>Do treści §4 ust. 2 wzoru umowy</w:t>
      </w:r>
      <w:r w:rsidRPr="00E91D02">
        <w:rPr>
          <w:rFonts w:asciiTheme="minorHAnsi" w:eastAsia="Times New Roman" w:hAnsiTheme="minorHAnsi" w:cstheme="minorHAnsi"/>
          <w:color w:val="000000"/>
        </w:rPr>
        <w:t>:</w:t>
      </w:r>
      <w:r w:rsidRPr="00E91D02">
        <w:rPr>
          <w:rFonts w:asciiTheme="minorHAnsi" w:eastAsia="Times New Roman" w:hAnsiTheme="minorHAnsi" w:cstheme="minorHAnsi"/>
        </w:rPr>
        <w:t xml:space="preserve"> Czy Zamawiający wyrazi zgodę na naliczanie ewentualnej kary umownej za niewykonanie lub nienależyte wykonanie dostawy w wysokości 0,1% wartości brutto niewykonanej lub nienależycie wykonanej części dostawy? </w:t>
      </w:r>
    </w:p>
    <w:p w14:paraId="18B73EA4" w14:textId="77777777" w:rsidR="00E91D02" w:rsidRPr="00E91D02" w:rsidRDefault="00E91D02" w:rsidP="00E91D02">
      <w:pPr>
        <w:pStyle w:val="Akapitzlist"/>
        <w:ind w:left="644"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Nie wyrażamy zgody.</w:t>
      </w:r>
    </w:p>
    <w:p w14:paraId="41733C17" w14:textId="77777777" w:rsidR="00E91D02" w:rsidRPr="00E91D02" w:rsidRDefault="00E91D02" w:rsidP="00E91D02">
      <w:pPr>
        <w:pStyle w:val="Akapitzlist"/>
        <w:rPr>
          <w:rFonts w:asciiTheme="minorHAnsi" w:eastAsia="Times New Roman" w:hAnsiTheme="minorHAnsi" w:cstheme="minorHAnsi"/>
          <w:color w:val="C9211E"/>
        </w:rPr>
      </w:pPr>
    </w:p>
    <w:p w14:paraId="7CD528D3" w14:textId="2A98C2C6" w:rsidR="00E91D02" w:rsidRPr="00E91D02" w:rsidRDefault="00E91D02" w:rsidP="00E91D02">
      <w:pPr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t>Do §4 ust.3  wzoru umowy. Czy Zamawiający wyrazi zgodę na zmianę zapisu dotyczącego kar umownych za niedostarczenie w terminie zareklamowanej partii towaru ( dostarczeniu asortymentu niezgodnego z SWZ oraz zestawieniem asortymentowo - cenowym) poprzez wprowadzenie zapisu o karze w wysokości 1% dziennie liczonej od wartości brutto nie dostarczonego w terminie zamówienia podlegającego reklamacji?</w:t>
      </w:r>
    </w:p>
    <w:p w14:paraId="3B196271" w14:textId="77777777" w:rsidR="00E91D02" w:rsidRPr="00E91D02" w:rsidRDefault="00E91D02" w:rsidP="00E91D02">
      <w:pPr>
        <w:pStyle w:val="Akapitzlist"/>
        <w:ind w:left="644"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Nie wyrażamy zgody.</w:t>
      </w:r>
    </w:p>
    <w:p w14:paraId="188C2B21" w14:textId="77777777" w:rsidR="00E91D02" w:rsidRPr="00E91D02" w:rsidRDefault="00E91D02" w:rsidP="00E91D02">
      <w:pPr>
        <w:pStyle w:val="Akapitzlist"/>
        <w:rPr>
          <w:rFonts w:asciiTheme="minorHAnsi" w:eastAsia="Times New Roman" w:hAnsiTheme="minorHAnsi" w:cstheme="minorHAnsi"/>
        </w:rPr>
      </w:pPr>
    </w:p>
    <w:p w14:paraId="545F49DC" w14:textId="7E5440E5" w:rsidR="00E91D02" w:rsidRPr="00E91D02" w:rsidRDefault="00E91D02" w:rsidP="00E91D02">
      <w:pPr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t xml:space="preserve">Do §7 ust.1 pkt 2) projektu umowy. Prosimy o zmianę zapisu w taki sposób, aby pierwsza waloryzacja wynagrodzenia nastąpiła po upływie 6 miesięcy od daty zawarcia umowy (zgodnie z art.  439 ustawy z dnia 11 września 2019 r. Prawo zamówień publicznych (tj. Dz. U. 2022 poz. 1710 ze zm.). </w:t>
      </w:r>
    </w:p>
    <w:p w14:paraId="6E383726" w14:textId="50083770" w:rsidR="00E91D02" w:rsidRPr="00E91D02" w:rsidRDefault="00E91D02" w:rsidP="00E91D02">
      <w:pPr>
        <w:pStyle w:val="Akapitzlist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W</w:t>
      </w:r>
      <w:r>
        <w:rPr>
          <w:rFonts w:asciiTheme="minorHAnsi" w:eastAsia="Times New Roman" w:hAnsiTheme="minorHAnsi" w:cstheme="minorHAnsi"/>
          <w:b/>
          <w:bCs/>
        </w:rPr>
        <w:t>yrażamy zgod</w:t>
      </w:r>
      <w:r>
        <w:rPr>
          <w:rFonts w:asciiTheme="minorHAnsi" w:eastAsia="Times New Roman" w:hAnsiTheme="minorHAnsi" w:cstheme="minorHAnsi"/>
          <w:b/>
          <w:bCs/>
        </w:rPr>
        <w:t>ę</w:t>
      </w:r>
      <w:r>
        <w:rPr>
          <w:rFonts w:asciiTheme="minorHAnsi" w:eastAsia="Times New Roman" w:hAnsiTheme="minorHAnsi" w:cstheme="minorHAnsi"/>
          <w:b/>
          <w:bCs/>
        </w:rPr>
        <w:t>.</w:t>
      </w:r>
      <w:r>
        <w:rPr>
          <w:rFonts w:asciiTheme="minorHAnsi" w:eastAsia="Times New Roman" w:hAnsiTheme="minorHAnsi" w:cstheme="minorHAnsi"/>
          <w:b/>
          <w:bCs/>
        </w:rPr>
        <w:t xml:space="preserve"> Poprawiona umowa została zamieszczona na stronie internetowej Szpitala w zakładce Zamówienia Publiczne.</w:t>
      </w:r>
    </w:p>
    <w:p w14:paraId="3EB62F0F" w14:textId="77777777" w:rsidR="00E91D02" w:rsidRPr="00E91D02" w:rsidRDefault="00E91D02" w:rsidP="00E91D02">
      <w:pPr>
        <w:suppressAutoHyphens/>
        <w:ind w:left="644"/>
        <w:rPr>
          <w:rFonts w:asciiTheme="minorHAnsi" w:eastAsia="Calibri" w:hAnsiTheme="minorHAnsi" w:cstheme="minorHAnsi"/>
        </w:rPr>
      </w:pPr>
    </w:p>
    <w:p w14:paraId="66A15197" w14:textId="77777777" w:rsidR="00E91D02" w:rsidRPr="00E91D02" w:rsidRDefault="00E91D02" w:rsidP="00E91D02">
      <w:pPr>
        <w:rPr>
          <w:rFonts w:asciiTheme="minorHAnsi" w:eastAsia="Times New Roman" w:hAnsiTheme="minorHAnsi" w:cstheme="minorHAnsi"/>
        </w:rPr>
      </w:pPr>
    </w:p>
    <w:p w14:paraId="55C3F16F" w14:textId="544BFC7E" w:rsidR="00E91D02" w:rsidRPr="00E91D02" w:rsidRDefault="00E91D02" w:rsidP="00E91D02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eastAsia="Calibri" w:hAnsiTheme="minorHAnsi" w:cstheme="minorHAnsi"/>
        </w:rPr>
      </w:pPr>
      <w:r w:rsidRPr="00E91D02">
        <w:rPr>
          <w:rFonts w:asciiTheme="minorHAnsi" w:hAnsiTheme="minorHAnsi" w:cstheme="minorHAnsi"/>
        </w:rPr>
        <w:t>Prosimy o zmodyfikowanie zapisy §7 ust.1 pkt 11)  projektu umowy poprzez podwyższenie maksymalnej wartości zmiany wynagrodzenia, jaką dopuszcza zamawiający w efekcie zastosowania postanowień o zasadach wprowadzania zmian wysokości wynagrodzenia do 20% wartości pierwotnej umowy.</w:t>
      </w:r>
    </w:p>
    <w:p w14:paraId="785F3933" w14:textId="77777777" w:rsidR="00451DC0" w:rsidRPr="00E91D02" w:rsidRDefault="00451DC0" w:rsidP="00451DC0">
      <w:pPr>
        <w:pStyle w:val="Akapitzlist"/>
        <w:ind w:left="644"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Nie wyrażamy zgody.</w:t>
      </w:r>
    </w:p>
    <w:p w14:paraId="59121886" w14:textId="77777777" w:rsidR="00E91D02" w:rsidRPr="00E91D02" w:rsidRDefault="00E91D02" w:rsidP="00E91D02">
      <w:pPr>
        <w:jc w:val="both"/>
        <w:rPr>
          <w:rFonts w:asciiTheme="minorHAnsi" w:hAnsiTheme="minorHAnsi" w:cstheme="minorHAnsi"/>
        </w:rPr>
      </w:pPr>
    </w:p>
    <w:p w14:paraId="2643A76B" w14:textId="77777777" w:rsidR="00E91D02" w:rsidRPr="00E91D02" w:rsidRDefault="00E91D02" w:rsidP="00E91D02">
      <w:pPr>
        <w:ind w:left="720"/>
        <w:rPr>
          <w:rFonts w:asciiTheme="minorHAnsi" w:hAnsiTheme="minorHAnsi" w:cstheme="minorHAnsi"/>
          <w:color w:val="000000"/>
        </w:rPr>
      </w:pPr>
    </w:p>
    <w:p w14:paraId="0C7A8C71" w14:textId="361D9AA4" w:rsidR="00E91D02" w:rsidRPr="00451DC0" w:rsidRDefault="00E91D02" w:rsidP="00E91D02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</w:rPr>
      </w:pPr>
      <w:r w:rsidRPr="00E91D02">
        <w:rPr>
          <w:rFonts w:asciiTheme="minorHAnsi" w:eastAsia="Times New Roman" w:hAnsiTheme="minorHAnsi" w:cstheme="minorHAnsi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późn. zm.) oraz art. 10 ustawy z dn. 28.02.2003r. – Prawo upadłościowe (Dz.U.60.535 z późn. zm.)? Czy według wiedzy Zamawiającego w/w przesłanki staną się aktualne w okresie od chwili obecnej do zakończenia umowy zawartej na skutek niniejszego postępowania? </w:t>
      </w:r>
    </w:p>
    <w:p w14:paraId="74912E7E" w14:textId="1CFB4B22" w:rsidR="00451DC0" w:rsidRPr="00E91D02" w:rsidRDefault="00451DC0" w:rsidP="00451DC0">
      <w:pPr>
        <w:pStyle w:val="Akapitzlist"/>
        <w:ind w:left="644"/>
        <w:rPr>
          <w:rFonts w:asciiTheme="minorHAnsi" w:eastAsia="Calibri" w:hAnsiTheme="minorHAnsi" w:cstheme="minorHAnsi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 w:rsidRPr="00451DC0">
        <w:rPr>
          <w:rFonts w:asciiTheme="minorHAnsi" w:eastAsia="Times New Roman" w:hAnsiTheme="minorHAnsi" w:cstheme="minorHAnsi"/>
          <w:b/>
          <w:bCs/>
        </w:rPr>
        <w:t>Vide KRS</w:t>
      </w:r>
      <w:r>
        <w:rPr>
          <w:rFonts w:asciiTheme="minorHAnsi" w:eastAsia="Times New Roman" w:hAnsiTheme="minorHAnsi" w:cstheme="minorHAnsi"/>
          <w:b/>
          <w:bCs/>
        </w:rPr>
        <w:t>.</w:t>
      </w:r>
    </w:p>
    <w:p w14:paraId="2AEA2B70" w14:textId="77777777" w:rsidR="00451DC0" w:rsidRPr="00E91D02" w:rsidRDefault="00451DC0" w:rsidP="00451DC0">
      <w:pPr>
        <w:suppressAutoHyphens/>
        <w:ind w:left="644"/>
        <w:jc w:val="both"/>
        <w:rPr>
          <w:rFonts w:asciiTheme="minorHAnsi" w:hAnsiTheme="minorHAnsi" w:cstheme="minorHAnsi"/>
        </w:rPr>
      </w:pPr>
    </w:p>
    <w:p w14:paraId="546A72FD" w14:textId="77777777" w:rsidR="00E91D02" w:rsidRPr="00E91D02" w:rsidRDefault="00E91D02" w:rsidP="00E91D02">
      <w:pPr>
        <w:jc w:val="both"/>
        <w:rPr>
          <w:rFonts w:asciiTheme="minorHAnsi" w:eastAsia="Times New Roman" w:hAnsiTheme="minorHAnsi" w:cstheme="minorHAnsi"/>
        </w:rPr>
      </w:pPr>
    </w:p>
    <w:p w14:paraId="12CA26A2" w14:textId="77777777" w:rsidR="00E91D02" w:rsidRPr="00E91D02" w:rsidRDefault="00E91D02" w:rsidP="00E91D02">
      <w:pPr>
        <w:pStyle w:val="Akapitzlist"/>
        <w:numPr>
          <w:ilvl w:val="0"/>
          <w:numId w:val="5"/>
        </w:numPr>
        <w:suppressAutoHyphens/>
        <w:rPr>
          <w:rFonts w:asciiTheme="minorHAnsi" w:eastAsia="Calibri" w:hAnsiTheme="minorHAnsi" w:cstheme="minorHAnsi"/>
        </w:rPr>
      </w:pPr>
      <w:r w:rsidRPr="00E91D02">
        <w:rPr>
          <w:rFonts w:asciiTheme="minorHAnsi" w:hAnsiTheme="minorHAnsi" w:cstheme="minorHAnsi"/>
        </w:rPr>
        <w:t>Czy Zamawiający wyrazi zgodę na ustanowienie ze swojej strony zabezpieczeń cywilnoprawnych prawidłowego wykonania umowy przetargowej, w jednej z następujących postaci:</w:t>
      </w:r>
    </w:p>
    <w:p w14:paraId="7038DCB5" w14:textId="77777777" w:rsidR="00E91D02" w:rsidRPr="00E91D02" w:rsidRDefault="00E91D02" w:rsidP="00E91D02">
      <w:pPr>
        <w:ind w:left="720"/>
        <w:rPr>
          <w:rFonts w:asciiTheme="minorHAnsi" w:hAnsiTheme="minorHAnsi" w:cstheme="minorHAnsi"/>
        </w:rPr>
      </w:pPr>
      <w:r w:rsidRPr="00E91D02">
        <w:rPr>
          <w:rFonts w:asciiTheme="minorHAnsi" w:hAnsiTheme="minorHAnsi" w:cstheme="minorHAnsi"/>
        </w:rPr>
        <w:t>- oświadczenia o poddaniu się egzekucji wprost w trybie art. 777 § 1 pkt 5 Kodeksu postępowania cywilnego</w:t>
      </w:r>
    </w:p>
    <w:p w14:paraId="5077ED03" w14:textId="77777777" w:rsidR="00E91D02" w:rsidRPr="00E91D02" w:rsidRDefault="00E91D02" w:rsidP="00E91D02">
      <w:pPr>
        <w:ind w:left="720"/>
        <w:rPr>
          <w:rFonts w:asciiTheme="minorHAnsi" w:hAnsiTheme="minorHAnsi" w:cstheme="minorHAnsi"/>
        </w:rPr>
      </w:pPr>
      <w:r w:rsidRPr="00E91D02">
        <w:rPr>
          <w:rFonts w:asciiTheme="minorHAnsi" w:hAnsiTheme="minorHAnsi" w:cstheme="minorHAnsi"/>
        </w:rPr>
        <w:t>- cesji na zabezpieczenie w Narodowym Funduszu Zdrowia;</w:t>
      </w:r>
    </w:p>
    <w:p w14:paraId="23CC5D3D" w14:textId="7AA4CEF7" w:rsidR="00E91D02" w:rsidRDefault="00E91D02" w:rsidP="00451DC0">
      <w:pPr>
        <w:ind w:left="709"/>
        <w:rPr>
          <w:rFonts w:asciiTheme="minorHAnsi" w:hAnsiTheme="minorHAnsi" w:cstheme="minorHAnsi"/>
        </w:rPr>
      </w:pPr>
      <w:r w:rsidRPr="00E91D02">
        <w:rPr>
          <w:rFonts w:asciiTheme="minorHAnsi" w:hAnsiTheme="minorHAnsi" w:cstheme="minorHAnsi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późn. zm.) i ustawie z dn. 28.02.2003r. – Prawo upadłościowe (Dz.U.60.535 z późn. zm.). </w:t>
      </w:r>
    </w:p>
    <w:p w14:paraId="0327A306" w14:textId="1160EE97" w:rsidR="00E92FA8" w:rsidRPr="00E10ECA" w:rsidRDefault="00451DC0" w:rsidP="00451DC0">
      <w:pPr>
        <w:pStyle w:val="Akapitzlist"/>
        <w:ind w:left="644"/>
        <w:rPr>
          <w:sz w:val="20"/>
          <w:szCs w:val="20"/>
        </w:rPr>
      </w:pPr>
      <w:r w:rsidRPr="00E91D02">
        <w:rPr>
          <w:rFonts w:asciiTheme="minorHAnsi" w:eastAsia="Times New Roman" w:hAnsiTheme="minorHAnsi" w:cstheme="minorHAnsi"/>
          <w:b/>
          <w:bCs/>
        </w:rPr>
        <w:t xml:space="preserve">odp. </w:t>
      </w:r>
      <w:r>
        <w:rPr>
          <w:rFonts w:asciiTheme="minorHAnsi" w:eastAsia="Times New Roman" w:hAnsiTheme="minorHAnsi" w:cstheme="minorHAnsi"/>
          <w:b/>
          <w:bCs/>
        </w:rPr>
        <w:t>Nie wyrażamy zgody.</w:t>
      </w:r>
      <w:bookmarkEnd w:id="0"/>
      <w:bookmarkEnd w:id="1"/>
      <w:bookmarkEnd w:id="2"/>
    </w:p>
    <w:sectPr w:rsidR="00E92FA8" w:rsidRPr="00E1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ekretariat Sekretariat" w:date="2023-01-18T09:45:00Z" w:initials="SS">
    <w:p w14:paraId="084A29B5" w14:textId="77777777" w:rsidR="0007334D" w:rsidRDefault="0007334D" w:rsidP="00A55F77">
      <w:pPr>
        <w:pStyle w:val="Tekstkomentarza"/>
      </w:pPr>
      <w:r>
        <w:rPr>
          <w:rStyle w:val="Odwoaniedokomentarza"/>
        </w:rPr>
        <w:annotationRef/>
      </w:r>
      <w:r>
        <w:t>do części 2</w:t>
      </w:r>
    </w:p>
  </w:comment>
  <w:comment w:id="4" w:author="Sekretariat Sekretariat" w:date="2023-01-18T09:57:00Z" w:initials="SS">
    <w:p w14:paraId="77491660" w14:textId="77777777" w:rsidR="009E7A8E" w:rsidRDefault="0046257D" w:rsidP="009B1E95">
      <w:pPr>
        <w:pStyle w:val="Tekstkomentarza"/>
      </w:pPr>
      <w:r>
        <w:rPr>
          <w:rStyle w:val="Odwoaniedokomentarza"/>
        </w:rPr>
        <w:annotationRef/>
      </w:r>
      <w:r w:rsidR="009E7A8E">
        <w:t>do części 3</w:t>
      </w:r>
    </w:p>
  </w:comment>
  <w:comment w:id="5" w:author="Sekretariat Sekretariat" w:date="2023-01-18T10:11:00Z" w:initials="SS">
    <w:p w14:paraId="54772DB7" w14:textId="77777777" w:rsidR="009E7A8E" w:rsidRDefault="009E7A8E" w:rsidP="00C90B33">
      <w:pPr>
        <w:pStyle w:val="Tekstkomentarza"/>
      </w:pPr>
      <w:r>
        <w:rPr>
          <w:rStyle w:val="Odwoaniedokomentarza"/>
        </w:rPr>
        <w:annotationRef/>
      </w:r>
      <w:r>
        <w:t>do części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4A29B5" w15:done="0"/>
  <w15:commentEx w15:paraId="77491660" w15:done="0"/>
  <w15:commentEx w15:paraId="54772D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3E22" w16cex:dateUtc="2023-01-18T08:45:00Z"/>
  <w16cex:commentExtensible w16cex:durableId="27724108" w16cex:dateUtc="2023-01-18T08:57:00Z"/>
  <w16cex:commentExtensible w16cex:durableId="27724457" w16cex:dateUtc="2023-01-1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A29B5" w16cid:durableId="27723E22"/>
  <w16cid:commentId w16cid:paraId="77491660" w16cid:durableId="27724108"/>
  <w16cid:commentId w16cid:paraId="54772DB7" w16cid:durableId="277244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69D"/>
    <w:multiLevelType w:val="hybridMultilevel"/>
    <w:tmpl w:val="B6EAA368"/>
    <w:lvl w:ilvl="0" w:tplc="3684DE62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33501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69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960656">
    <w:abstractNumId w:val="4"/>
  </w:num>
  <w:num w:numId="4" w16cid:durableId="228272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117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2392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kretariat Sekretariat">
    <w15:presenceInfo w15:providerId="None" w15:userId="Sekretariat Sek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85"/>
    <w:rsid w:val="0007334D"/>
    <w:rsid w:val="002B2710"/>
    <w:rsid w:val="00372885"/>
    <w:rsid w:val="00451DC0"/>
    <w:rsid w:val="0046257D"/>
    <w:rsid w:val="006A47E4"/>
    <w:rsid w:val="006B1913"/>
    <w:rsid w:val="009E7A8E"/>
    <w:rsid w:val="00A5433F"/>
    <w:rsid w:val="00E10ECA"/>
    <w:rsid w:val="00E91D02"/>
    <w:rsid w:val="00E92FA8"/>
    <w:rsid w:val="00F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6CB"/>
  <w15:chartTrackingRefBased/>
  <w15:docId w15:val="{690144D2-10ED-4F9C-937C-FBCF2A1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7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47E4"/>
    <w:pPr>
      <w:spacing w:line="360" w:lineRule="auto"/>
      <w:ind w:firstLine="426"/>
      <w:jc w:val="both"/>
    </w:pPr>
    <w:rPr>
      <w:rFonts w:ascii="Times New Roman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47E4"/>
    <w:rPr>
      <w:rFonts w:ascii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6A47E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34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34D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92FA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1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1D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Sekretariat Sekretariat</cp:lastModifiedBy>
  <cp:revision>7</cp:revision>
  <dcterms:created xsi:type="dcterms:W3CDTF">2023-01-18T07:26:00Z</dcterms:created>
  <dcterms:modified xsi:type="dcterms:W3CDTF">2023-01-18T10:58:00Z</dcterms:modified>
</cp:coreProperties>
</file>